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i w:val="0"/>
          <w:iCs w:val="0"/>
          <w:caps w:val="0"/>
          <w:color w:val="333333"/>
          <w:spacing w:val="0"/>
          <w:sz w:val="31"/>
          <w:szCs w:val="31"/>
          <w:shd w:val="clear" w:color="auto" w:fill="FFFFFF"/>
          <w:lang w:val="en-US" w:eastAsia="zh-CN"/>
        </w:rPr>
      </w:pPr>
      <w:r>
        <w:rPr>
          <w:rFonts w:hint="eastAsia" w:ascii="Times New Roman" w:hAnsi="Times New Roman" w:eastAsia="宋体" w:cs="Times New Roman"/>
          <w:i w:val="0"/>
          <w:iCs w:val="0"/>
          <w:caps w:val="0"/>
          <w:color w:val="333333"/>
          <w:spacing w:val="0"/>
          <w:sz w:val="31"/>
          <w:szCs w:val="31"/>
          <w:shd w:val="clear" w:color="auto" w:fill="FFFFFF"/>
          <w:lang w:eastAsia="zh-CN"/>
        </w:rPr>
        <w:t>附件</w:t>
      </w:r>
      <w:r>
        <w:rPr>
          <w:rFonts w:hint="eastAsia" w:ascii="Times New Roman" w:hAnsi="Times New Roman" w:eastAsia="宋体" w:cs="Times New Roman"/>
          <w:i w:val="0"/>
          <w:iCs w:val="0"/>
          <w:caps w:val="0"/>
          <w:color w:val="333333"/>
          <w:spacing w:val="0"/>
          <w:sz w:val="31"/>
          <w:szCs w:val="31"/>
          <w:shd w:val="clear" w:color="auto" w:fill="FFFFFF"/>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43"/>
          <w:szCs w:val="43"/>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333333"/>
          <w:spacing w:val="0"/>
          <w:sz w:val="21"/>
          <w:szCs w:val="21"/>
        </w:rPr>
      </w:pPr>
      <w:bookmarkStart w:id="0" w:name="_GoBack"/>
      <w:r>
        <w:rPr>
          <w:rFonts w:hint="eastAsia" w:ascii="方正小标宋_GBK" w:hAnsi="方正小标宋_GBK" w:eastAsia="方正小标宋_GBK" w:cs="方正小标宋_GBK"/>
          <w:i w:val="0"/>
          <w:iCs w:val="0"/>
          <w:caps w:val="0"/>
          <w:color w:val="333333"/>
          <w:spacing w:val="0"/>
          <w:sz w:val="43"/>
          <w:szCs w:val="43"/>
          <w:shd w:val="clear" w:color="auto" w:fill="FFFFFF"/>
        </w:rPr>
        <w:t>创新型中小企业评价标准及指标说明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43"/>
          <w:szCs w:val="43"/>
          <w:shd w:val="clear" w:color="auto" w:fill="FFFFFF"/>
        </w:rPr>
        <w:t> </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shd w:val="clear" w:color="auto" w:fill="FFFFFF"/>
        </w:rPr>
        <w:t>一、公告条件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评价得分达到</w:t>
      </w:r>
      <w:r>
        <w:rPr>
          <w:rFonts w:hint="default" w:ascii="Times New Roman" w:hAnsi="Times New Roman" w:eastAsia="Helvetica" w:cs="Times New Roman"/>
          <w:i w:val="0"/>
          <w:iCs w:val="0"/>
          <w:caps w:val="0"/>
          <w:color w:val="333333"/>
          <w:spacing w:val="0"/>
          <w:sz w:val="31"/>
          <w:szCs w:val="31"/>
          <w:shd w:val="clear" w:color="auto" w:fill="FFFFFF"/>
        </w:rPr>
        <w:t>60</w:t>
      </w:r>
      <w:r>
        <w:rPr>
          <w:rFonts w:hint="eastAsia" w:ascii="方正仿宋_GBK" w:hAnsi="方正仿宋_GBK" w:eastAsia="方正仿宋_GBK" w:cs="方正仿宋_GBK"/>
          <w:i w:val="0"/>
          <w:iCs w:val="0"/>
          <w:caps w:val="0"/>
          <w:color w:val="333333"/>
          <w:spacing w:val="0"/>
          <w:sz w:val="31"/>
          <w:szCs w:val="31"/>
          <w:shd w:val="clear" w:color="auto" w:fill="FFFFFF"/>
        </w:rPr>
        <w:t>分以上（其中创新能力指标得分不低于</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分、成长性指标及专业化指标得分均不低于</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分），或满足下列条件之一：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（一）近三年内获得过国家级、省级科技奖励。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（二）获得高新技术企业、国家级技术创新示范企业、</w:t>
      </w:r>
      <w:r>
        <w:rPr>
          <w:rFonts w:hint="default" w:ascii="Times New Roman" w:hAnsi="Times New Roman" w:eastAsia="Helvetica" w:cs="Times New Roman"/>
          <w:i w:val="0"/>
          <w:iCs w:val="0"/>
          <w:caps w:val="0"/>
          <w:color w:val="333333"/>
          <w:spacing w:val="0"/>
          <w:sz w:val="31"/>
          <w:szCs w:val="31"/>
          <w:shd w:val="clear" w:color="auto" w:fill="FFFFFF"/>
        </w:rPr>
        <w:t> </w:t>
      </w:r>
      <w:r>
        <w:rPr>
          <w:rFonts w:hint="eastAsia" w:ascii="方正仿宋_GBK" w:hAnsi="方正仿宋_GBK" w:eastAsia="方正仿宋_GBK" w:cs="方正仿宋_GBK"/>
          <w:i w:val="0"/>
          <w:iCs w:val="0"/>
          <w:caps w:val="0"/>
          <w:color w:val="333333"/>
          <w:spacing w:val="0"/>
          <w:sz w:val="31"/>
          <w:szCs w:val="31"/>
          <w:shd w:val="clear" w:color="auto" w:fill="FFFFFF"/>
        </w:rPr>
        <w:t>知识产权优势企业和知识产权示范企业等荣誉（均为有效期内）。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（三）拥有经认定的省部级以上研发机构。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（四）近三年新增股权融资总额（合格机构投资者的实</w:t>
      </w:r>
      <w:r>
        <w:rPr>
          <w:rFonts w:hint="default" w:ascii="Times New Roman" w:hAnsi="Times New Roman" w:eastAsia="Helvetica" w:cs="Times New Roman"/>
          <w:i w:val="0"/>
          <w:iCs w:val="0"/>
          <w:caps w:val="0"/>
          <w:color w:val="333333"/>
          <w:spacing w:val="0"/>
          <w:sz w:val="31"/>
          <w:szCs w:val="31"/>
          <w:shd w:val="clear" w:color="auto" w:fill="FFFFFF"/>
        </w:rPr>
        <w:t> </w:t>
      </w:r>
      <w:r>
        <w:rPr>
          <w:rFonts w:hint="eastAsia" w:ascii="方正仿宋_GBK" w:hAnsi="方正仿宋_GBK" w:eastAsia="方正仿宋_GBK" w:cs="方正仿宋_GBK"/>
          <w:i w:val="0"/>
          <w:iCs w:val="0"/>
          <w:caps w:val="0"/>
          <w:color w:val="333333"/>
          <w:spacing w:val="0"/>
          <w:sz w:val="31"/>
          <w:szCs w:val="31"/>
          <w:shd w:val="clear" w:color="auto" w:fill="FFFFFF"/>
        </w:rPr>
        <w:t>缴额）</w:t>
      </w:r>
      <w:r>
        <w:rPr>
          <w:rFonts w:hint="default" w:ascii="Times New Roman" w:hAnsi="Times New Roman" w:eastAsia="Helvetica" w:cs="Times New Roman"/>
          <w:i w:val="0"/>
          <w:iCs w:val="0"/>
          <w:caps w:val="0"/>
          <w:color w:val="333333"/>
          <w:spacing w:val="0"/>
          <w:sz w:val="31"/>
          <w:szCs w:val="31"/>
          <w:shd w:val="clear" w:color="auto" w:fill="FFFFFF"/>
        </w:rPr>
        <w:t>500</w:t>
      </w:r>
      <w:r>
        <w:rPr>
          <w:rFonts w:hint="eastAsia" w:ascii="方正仿宋_GBK" w:hAnsi="方正仿宋_GBK" w:eastAsia="方正仿宋_GBK" w:cs="方正仿宋_GBK"/>
          <w:i w:val="0"/>
          <w:iCs w:val="0"/>
          <w:caps w:val="0"/>
          <w:color w:val="333333"/>
          <w:spacing w:val="0"/>
          <w:sz w:val="31"/>
          <w:szCs w:val="31"/>
          <w:shd w:val="clear" w:color="auto" w:fill="FFFFFF"/>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shd w:val="clear" w:color="auto" w:fill="FFFFFF"/>
        </w:rPr>
        <w:t>二、评价指标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包括创新能力、成长性、专业化三类六个指标，评价结果依分值计算，满分为</w:t>
      </w:r>
      <w:r>
        <w:rPr>
          <w:rFonts w:hint="default" w:ascii="Times New Roman" w:hAnsi="Times New Roman" w:eastAsia="Helvetica" w:cs="Times New Roman"/>
          <w:i w:val="0"/>
          <w:iCs w:val="0"/>
          <w:caps w:val="0"/>
          <w:color w:val="333333"/>
          <w:spacing w:val="0"/>
          <w:sz w:val="31"/>
          <w:szCs w:val="31"/>
          <w:shd w:val="clear" w:color="auto" w:fill="FFFFFF"/>
        </w:rPr>
        <w:t>100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shd w:val="clear" w:color="auto" w:fill="FFFFFF"/>
        </w:rPr>
        <w:t>（一）创新能力指标。（满分</w:t>
      </w:r>
      <w:r>
        <w:rPr>
          <w:rFonts w:hint="default" w:ascii="Times New Roman" w:hAnsi="Times New Roman" w:eastAsia="Helvetica" w:cs="Times New Roman"/>
          <w:i w:val="0"/>
          <w:iCs w:val="0"/>
          <w:caps w:val="0"/>
          <w:color w:val="333333"/>
          <w:spacing w:val="0"/>
          <w:sz w:val="31"/>
          <w:szCs w:val="31"/>
          <w:shd w:val="clear" w:color="auto" w:fill="FFFFFF"/>
        </w:rPr>
        <w:t>40</w:t>
      </w:r>
      <w:r>
        <w:rPr>
          <w:rFonts w:hint="eastAsia" w:ascii="方正楷体_GBK" w:hAnsi="方正楷体_GBK" w:eastAsia="方正楷体_GBK" w:cs="方正楷体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与企业主导产品相关的有效知识产权数量。（满分</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 Ⅰ</w:t>
      </w:r>
      <w:r>
        <w:rPr>
          <w:rFonts w:hint="eastAsia" w:ascii="方正仿宋_GBK" w:hAnsi="方正仿宋_GBK" w:eastAsia="方正仿宋_GBK" w:cs="方正仿宋_GBK"/>
          <w:i w:val="0"/>
          <w:iCs w:val="0"/>
          <w:caps w:val="0"/>
          <w:color w:val="333333"/>
          <w:spacing w:val="0"/>
          <w:sz w:val="31"/>
          <w:szCs w:val="31"/>
          <w:shd w:val="clear" w:color="auto" w:fill="FFFFFF"/>
        </w:rPr>
        <w:t>类高价值知识产权</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项以上（</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 </w:t>
      </w:r>
      <w:r>
        <w:rPr>
          <w:rFonts w:hint="eastAsia" w:ascii="方正仿宋_GBK" w:hAnsi="方正仿宋_GBK" w:eastAsia="方正仿宋_GBK" w:cs="方正仿宋_GBK"/>
          <w:i w:val="0"/>
          <w:iCs w:val="0"/>
          <w:caps w:val="0"/>
          <w:color w:val="333333"/>
          <w:spacing w:val="0"/>
          <w:sz w:val="31"/>
          <w:szCs w:val="31"/>
          <w:shd w:val="clear" w:color="auto" w:fill="FFFFFF"/>
        </w:rPr>
        <w:t>自主研发的</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项以上（</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C. 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项以上（</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D. Ⅱ</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项以上（</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E. </w:t>
      </w:r>
      <w:r>
        <w:rPr>
          <w:rFonts w:hint="eastAsia" w:ascii="方正仿宋_GBK" w:hAnsi="方正仿宋_GBK" w:eastAsia="方正仿宋_GBK" w:cs="方正仿宋_GBK"/>
          <w:i w:val="0"/>
          <w:iCs w:val="0"/>
          <w:caps w:val="0"/>
          <w:color w:val="333333"/>
          <w:spacing w:val="0"/>
          <w:sz w:val="31"/>
          <w:szCs w:val="31"/>
          <w:shd w:val="clear" w:color="auto" w:fill="FFFFFF"/>
        </w:rPr>
        <w:t>无（</w:t>
      </w:r>
      <w:r>
        <w:rPr>
          <w:rFonts w:hint="default" w:ascii="Times New Roman" w:hAnsi="Times New Roman" w:eastAsia="Helvetica" w:cs="Times New Roman"/>
          <w:i w:val="0"/>
          <w:iCs w:val="0"/>
          <w:caps w:val="0"/>
          <w:color w:val="333333"/>
          <w:spacing w:val="0"/>
          <w:sz w:val="31"/>
          <w:szCs w:val="31"/>
          <w:shd w:val="clear" w:color="auto" w:fill="FFFFFF"/>
        </w:rPr>
        <w:t>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rPr>
        <w:t>上年度研发费用总额占营业收入总额比重。（满分</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 5%</w:t>
      </w:r>
      <w:r>
        <w:rPr>
          <w:rFonts w:hint="eastAsia" w:ascii="方正仿宋_GBK" w:hAnsi="方正仿宋_GBK" w:eastAsia="方正仿宋_GBK" w:cs="方正仿宋_GBK"/>
          <w:i w:val="0"/>
          <w:iCs w:val="0"/>
          <w:caps w:val="0"/>
          <w:color w:val="333333"/>
          <w:spacing w:val="0"/>
          <w:sz w:val="31"/>
          <w:szCs w:val="31"/>
          <w:shd w:val="clear" w:color="auto" w:fill="FFFFFF"/>
        </w:rPr>
        <w:t>以上（</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 3%</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C. 2%</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3%</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D. 1%</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E. 1%</w:t>
      </w:r>
      <w:r>
        <w:rPr>
          <w:rFonts w:hint="eastAsia" w:ascii="方正仿宋_GBK" w:hAnsi="方正仿宋_GBK" w:eastAsia="方正仿宋_GBK" w:cs="方正仿宋_GBK"/>
          <w:i w:val="0"/>
          <w:iCs w:val="0"/>
          <w:caps w:val="0"/>
          <w:color w:val="333333"/>
          <w:spacing w:val="0"/>
          <w:sz w:val="31"/>
          <w:szCs w:val="31"/>
          <w:shd w:val="clear" w:color="auto" w:fill="FFFFFF"/>
        </w:rPr>
        <w:t>以下（</w:t>
      </w:r>
      <w:r>
        <w:rPr>
          <w:rFonts w:hint="default" w:ascii="Times New Roman" w:hAnsi="Times New Roman" w:eastAsia="Helvetica" w:cs="Times New Roman"/>
          <w:i w:val="0"/>
          <w:iCs w:val="0"/>
          <w:caps w:val="0"/>
          <w:color w:val="333333"/>
          <w:spacing w:val="0"/>
          <w:sz w:val="31"/>
          <w:szCs w:val="31"/>
          <w:shd w:val="clear" w:color="auto" w:fill="FFFFFF"/>
        </w:rPr>
        <w:t>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shd w:val="clear" w:color="auto" w:fill="FFFFFF"/>
        </w:rPr>
        <w:t>（二）成长性指标（满分</w:t>
      </w:r>
      <w:r>
        <w:rPr>
          <w:rFonts w:hint="default" w:ascii="Times New Roman" w:hAnsi="Times New Roman" w:eastAsia="Helvetica" w:cs="Times New Roman"/>
          <w:i w:val="0"/>
          <w:iCs w:val="0"/>
          <w:caps w:val="0"/>
          <w:color w:val="333333"/>
          <w:spacing w:val="0"/>
          <w:sz w:val="31"/>
          <w:szCs w:val="31"/>
          <w:shd w:val="clear" w:color="auto" w:fill="FFFFFF"/>
        </w:rPr>
        <w:t>30</w:t>
      </w:r>
      <w:r>
        <w:rPr>
          <w:rFonts w:hint="eastAsia" w:ascii="方正楷体_GBK" w:hAnsi="方正楷体_GBK" w:eastAsia="方正楷体_GBK" w:cs="方正楷体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3.</w:t>
      </w:r>
      <w:r>
        <w:rPr>
          <w:rFonts w:hint="eastAsia" w:ascii="方正仿宋_GBK" w:hAnsi="方正仿宋_GBK" w:eastAsia="方正仿宋_GBK" w:cs="方正仿宋_GBK"/>
          <w:i w:val="0"/>
          <w:iCs w:val="0"/>
          <w:caps w:val="0"/>
          <w:color w:val="333333"/>
          <w:spacing w:val="0"/>
          <w:sz w:val="31"/>
          <w:szCs w:val="31"/>
          <w:shd w:val="clear" w:color="auto" w:fill="FFFFFF"/>
        </w:rPr>
        <w:t>上年度主营业务收入增长率。（满分</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 15%</w:t>
      </w:r>
      <w:r>
        <w:rPr>
          <w:rFonts w:hint="eastAsia" w:ascii="方正仿宋_GBK" w:hAnsi="方正仿宋_GBK" w:eastAsia="方正仿宋_GBK" w:cs="方正仿宋_GBK"/>
          <w:i w:val="0"/>
          <w:iCs w:val="0"/>
          <w:caps w:val="0"/>
          <w:color w:val="333333"/>
          <w:spacing w:val="0"/>
          <w:sz w:val="31"/>
          <w:szCs w:val="31"/>
          <w:shd w:val="clear" w:color="auto" w:fill="FFFFFF"/>
        </w:rPr>
        <w:t>以上（</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 10%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C. 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D. 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E. 0%</w:t>
      </w:r>
      <w:r>
        <w:rPr>
          <w:rFonts w:hint="eastAsia" w:ascii="方正仿宋_GBK" w:hAnsi="方正仿宋_GBK" w:eastAsia="方正仿宋_GBK" w:cs="方正仿宋_GBK"/>
          <w:i w:val="0"/>
          <w:iCs w:val="0"/>
          <w:caps w:val="0"/>
          <w:color w:val="333333"/>
          <w:spacing w:val="0"/>
          <w:sz w:val="31"/>
          <w:szCs w:val="31"/>
          <w:shd w:val="clear" w:color="auto" w:fill="FFFFFF"/>
        </w:rPr>
        <w:t>以下（</w:t>
      </w:r>
      <w:r>
        <w:rPr>
          <w:rFonts w:hint="default" w:ascii="Times New Roman" w:hAnsi="Times New Roman" w:eastAsia="Helvetica" w:cs="Times New Roman"/>
          <w:i w:val="0"/>
          <w:iCs w:val="0"/>
          <w:caps w:val="0"/>
          <w:color w:val="333333"/>
          <w:spacing w:val="0"/>
          <w:sz w:val="31"/>
          <w:szCs w:val="31"/>
          <w:shd w:val="clear" w:color="auto" w:fill="FFFFFF"/>
        </w:rPr>
        <w:t>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4.</w:t>
      </w:r>
      <w:r>
        <w:rPr>
          <w:rFonts w:hint="eastAsia" w:ascii="方正仿宋_GBK" w:hAnsi="方正仿宋_GBK" w:eastAsia="方正仿宋_GBK" w:cs="方正仿宋_GBK"/>
          <w:i w:val="0"/>
          <w:iCs w:val="0"/>
          <w:caps w:val="0"/>
          <w:color w:val="333333"/>
          <w:spacing w:val="0"/>
          <w:sz w:val="31"/>
          <w:szCs w:val="31"/>
          <w:shd w:val="clear" w:color="auto" w:fill="FFFFFF"/>
        </w:rPr>
        <w:t>上年度资产负债率。（满分</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 55%</w:t>
      </w:r>
      <w:r>
        <w:rPr>
          <w:rFonts w:hint="eastAsia" w:ascii="方正仿宋_GBK" w:hAnsi="方正仿宋_GBK" w:eastAsia="方正仿宋_GBK" w:cs="方正仿宋_GBK"/>
          <w:i w:val="0"/>
          <w:iCs w:val="0"/>
          <w:caps w:val="0"/>
          <w:color w:val="333333"/>
          <w:spacing w:val="0"/>
          <w:sz w:val="31"/>
          <w:szCs w:val="31"/>
          <w:shd w:val="clear" w:color="auto" w:fill="FFFFFF"/>
        </w:rPr>
        <w:t>以下（</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 55%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75%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D. 75%</w:t>
      </w:r>
      <w:r>
        <w:rPr>
          <w:rFonts w:hint="eastAsia" w:ascii="方正仿宋_GBK" w:hAnsi="方正仿宋_GBK" w:eastAsia="方正仿宋_GBK" w:cs="方正仿宋_GBK"/>
          <w:i w:val="0"/>
          <w:iCs w:val="0"/>
          <w:caps w:val="0"/>
          <w:color w:val="333333"/>
          <w:spacing w:val="0"/>
          <w:sz w:val="31"/>
          <w:szCs w:val="31"/>
          <w:shd w:val="clear" w:color="auto" w:fill="FFFFFF"/>
        </w:rPr>
        <w:t>以上（</w:t>
      </w:r>
      <w:r>
        <w:rPr>
          <w:rFonts w:hint="default" w:ascii="Times New Roman" w:hAnsi="Times New Roman" w:eastAsia="Helvetica" w:cs="Times New Roman"/>
          <w:i w:val="0"/>
          <w:iCs w:val="0"/>
          <w:caps w:val="0"/>
          <w:color w:val="333333"/>
          <w:spacing w:val="0"/>
          <w:sz w:val="31"/>
          <w:szCs w:val="31"/>
          <w:shd w:val="clear" w:color="auto" w:fill="FFFFFF"/>
        </w:rPr>
        <w:t>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shd w:val="clear" w:color="auto" w:fill="FFFFFF"/>
        </w:rPr>
        <w:t>（三）专业化指标。（满分</w:t>
      </w:r>
      <w:r>
        <w:rPr>
          <w:rFonts w:hint="default" w:ascii="Times New Roman" w:hAnsi="Times New Roman" w:eastAsia="Helvetica" w:cs="Times New Roman"/>
          <w:i w:val="0"/>
          <w:iCs w:val="0"/>
          <w:caps w:val="0"/>
          <w:color w:val="333333"/>
          <w:spacing w:val="0"/>
          <w:sz w:val="31"/>
          <w:szCs w:val="31"/>
          <w:shd w:val="clear" w:color="auto" w:fill="FFFFFF"/>
        </w:rPr>
        <w:t>30</w:t>
      </w:r>
      <w:r>
        <w:rPr>
          <w:rFonts w:hint="eastAsia" w:ascii="方正楷体_GBK" w:hAnsi="方正楷体_GBK" w:eastAsia="方正楷体_GBK" w:cs="方正楷体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主导产品所属领域情况。（满分</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w:t>
      </w:r>
      <w:r>
        <w:rPr>
          <w:rFonts w:hint="eastAsia" w:ascii="方正仿宋_GBK" w:hAnsi="方正仿宋_GBK" w:eastAsia="方正仿宋_GBK" w:cs="方正仿宋_GBK"/>
          <w:i w:val="0"/>
          <w:iCs w:val="0"/>
          <w:caps w:val="0"/>
          <w:color w:val="333333"/>
          <w:spacing w:val="0"/>
          <w:sz w:val="31"/>
          <w:szCs w:val="31"/>
          <w:shd w:val="clear" w:color="auto" w:fill="FFFFFF"/>
        </w:rPr>
        <w:t>属于《战略性新兴产业分类》（</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w:t>
      </w:r>
      <w:r>
        <w:rPr>
          <w:rFonts w:hint="eastAsia" w:ascii="方正仿宋_GBK" w:hAnsi="方正仿宋_GBK" w:eastAsia="方正仿宋_GBK" w:cs="方正仿宋_GBK"/>
          <w:i w:val="0"/>
          <w:iCs w:val="0"/>
          <w:caps w:val="0"/>
          <w:color w:val="333333"/>
          <w:spacing w:val="0"/>
          <w:sz w:val="31"/>
          <w:szCs w:val="31"/>
          <w:shd w:val="clear" w:color="auto" w:fill="FFFFFF"/>
        </w:rPr>
        <w:t>属于其他领域（</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6.</w:t>
      </w:r>
      <w:r>
        <w:rPr>
          <w:rFonts w:hint="eastAsia" w:ascii="方正仿宋_GBK" w:hAnsi="方正仿宋_GBK" w:eastAsia="方正仿宋_GBK" w:cs="方正仿宋_GBK"/>
          <w:i w:val="0"/>
          <w:iCs w:val="0"/>
          <w:caps w:val="0"/>
          <w:color w:val="333333"/>
          <w:spacing w:val="0"/>
          <w:sz w:val="31"/>
          <w:szCs w:val="31"/>
          <w:shd w:val="clear" w:color="auto" w:fill="FFFFFF"/>
        </w:rPr>
        <w:t>上年度主营业务收入总额占营业收入总额比重。（满分</w:t>
      </w:r>
      <w:r>
        <w:rPr>
          <w:rFonts w:hint="default" w:ascii="Times New Roman" w:hAnsi="Times New Roman" w:eastAsia="Helvetica" w:cs="Times New Roman"/>
          <w:i w:val="0"/>
          <w:iCs w:val="0"/>
          <w:caps w:val="0"/>
          <w:color w:val="333333"/>
          <w:spacing w:val="0"/>
          <w:sz w:val="31"/>
          <w:szCs w:val="31"/>
          <w:shd w:val="clear" w:color="auto" w:fill="FFFFFF"/>
        </w:rPr>
        <w:t> 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A. 70%</w:t>
      </w:r>
      <w:r>
        <w:rPr>
          <w:rFonts w:hint="eastAsia" w:ascii="方正仿宋_GBK" w:hAnsi="方正仿宋_GBK" w:eastAsia="方正仿宋_GBK" w:cs="方正仿宋_GBK"/>
          <w:i w:val="0"/>
          <w:iCs w:val="0"/>
          <w:caps w:val="0"/>
          <w:color w:val="333333"/>
          <w:spacing w:val="0"/>
          <w:sz w:val="31"/>
          <w:szCs w:val="31"/>
          <w:shd w:val="clear" w:color="auto" w:fill="FFFFFF"/>
        </w:rPr>
        <w:t>以上（</w:t>
      </w:r>
      <w:r>
        <w:rPr>
          <w:rFonts w:hint="default" w:ascii="Times New Roman" w:hAnsi="Times New Roman" w:eastAsia="Helvetica" w:cs="Times New Roman"/>
          <w:i w:val="0"/>
          <w:iCs w:val="0"/>
          <w:caps w:val="0"/>
          <w:color w:val="333333"/>
          <w:spacing w:val="0"/>
          <w:sz w:val="31"/>
          <w:szCs w:val="31"/>
          <w:shd w:val="clear" w:color="auto" w:fill="FFFFFF"/>
        </w:rPr>
        <w:t>20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B. 60%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70%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C. 55%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60%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D. 50%</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55%</w:t>
      </w:r>
      <w:r>
        <w:rPr>
          <w:rFonts w:hint="eastAsia" w:ascii="方正仿宋_GBK" w:hAnsi="方正仿宋_GBK" w:eastAsia="方正仿宋_GBK" w:cs="方正仿宋_GBK"/>
          <w:i w:val="0"/>
          <w:iCs w:val="0"/>
          <w:caps w:val="0"/>
          <w:color w:val="333333"/>
          <w:spacing w:val="0"/>
          <w:sz w:val="31"/>
          <w:szCs w:val="31"/>
          <w:shd w:val="clear" w:color="auto" w:fill="FFFFFF"/>
        </w:rPr>
        <w:t>（</w:t>
      </w:r>
      <w:r>
        <w:rPr>
          <w:rFonts w:hint="default" w:ascii="Times New Roman" w:hAnsi="Times New Roman" w:eastAsia="Helvetica" w:cs="Times New Roman"/>
          <w:i w:val="0"/>
          <w:iCs w:val="0"/>
          <w:caps w:val="0"/>
          <w:color w:val="333333"/>
          <w:spacing w:val="0"/>
          <w:sz w:val="31"/>
          <w:szCs w:val="31"/>
          <w:shd w:val="clear" w:color="auto" w:fill="FFFFFF"/>
        </w:rPr>
        <w:t>5</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E. 50%</w:t>
      </w:r>
      <w:r>
        <w:rPr>
          <w:rFonts w:hint="eastAsia" w:ascii="方正仿宋_GBK" w:hAnsi="方正仿宋_GBK" w:eastAsia="方正仿宋_GBK" w:cs="方正仿宋_GBK"/>
          <w:i w:val="0"/>
          <w:iCs w:val="0"/>
          <w:caps w:val="0"/>
          <w:color w:val="333333"/>
          <w:spacing w:val="0"/>
          <w:sz w:val="31"/>
          <w:szCs w:val="31"/>
          <w:shd w:val="clear" w:color="auto" w:fill="FFFFFF"/>
        </w:rPr>
        <w:t>以下（</w:t>
      </w:r>
      <w:r>
        <w:rPr>
          <w:rFonts w:hint="default" w:ascii="Times New Roman" w:hAnsi="Times New Roman" w:eastAsia="Helvetica" w:cs="Times New Roman"/>
          <w:i w:val="0"/>
          <w:iCs w:val="0"/>
          <w:caps w:val="0"/>
          <w:color w:val="333333"/>
          <w:spacing w:val="0"/>
          <w:sz w:val="31"/>
          <w:szCs w:val="31"/>
          <w:shd w:val="clear" w:color="auto" w:fill="FFFFFF"/>
        </w:rPr>
        <w:t>0</w:t>
      </w:r>
      <w:r>
        <w:rPr>
          <w:rFonts w:hint="eastAsia" w:ascii="方正仿宋_GBK" w:hAnsi="方正仿宋_GBK" w:eastAsia="方正仿宋_GBK" w:cs="方正仿宋_GBK"/>
          <w:i w:val="0"/>
          <w:iCs w:val="0"/>
          <w:caps w:val="0"/>
          <w:color w:val="333333"/>
          <w:spacing w:val="0"/>
          <w:sz w:val="31"/>
          <w:szCs w:val="31"/>
          <w:shd w:val="clear" w:color="auto"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shd w:val="clear" w:color="auto" w:fill="FFFFFF"/>
        </w:rPr>
        <w:t>三、部分指标说明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一）“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（二）“省级科技奖励”包括各省、自治区、直辖市科学技术奖的一、二、三等奖；“国家级科技奖励”包括国家科学技术进步奖、国家自然科学奖、国家技术发明奖，以及国防科技奖。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（三）“股权融资”是指公司股东稀释部分公司股权给投资人，以增资扩股（出让股权不超过</w:t>
      </w:r>
      <w:r>
        <w:rPr>
          <w:rFonts w:hint="default" w:ascii="Times New Roman" w:hAnsi="Times New Roman" w:eastAsia="Helvetica" w:cs="Times New Roman"/>
          <w:i w:val="0"/>
          <w:iCs w:val="0"/>
          <w:caps w:val="0"/>
          <w:color w:val="333333"/>
          <w:spacing w:val="0"/>
          <w:sz w:val="31"/>
          <w:szCs w:val="31"/>
          <w:shd w:val="clear" w:color="auto" w:fill="FFFFFF"/>
        </w:rPr>
        <w:t>30%</w:t>
      </w:r>
      <w:r>
        <w:rPr>
          <w:rFonts w:hint="eastAsia" w:ascii="方正仿宋_GBK" w:hAnsi="方正仿宋_GBK" w:eastAsia="方正仿宋_GBK" w:cs="方正仿宋_GBK"/>
          <w:i w:val="0"/>
          <w:iCs w:val="0"/>
          <w:caps w:val="0"/>
          <w:color w:val="333333"/>
          <w:spacing w:val="0"/>
          <w:sz w:val="31"/>
          <w:szCs w:val="31"/>
          <w:shd w:val="clear" w:color="auto" w:fill="FFFFFF"/>
        </w:rPr>
        <w:t>）的方式引进新的股东，从而取得公司融资的方式。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（四）“合格机构投资者”是指符合《创业投资企业管理暂行办法》（发展改革委等</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部门令第</w:t>
      </w:r>
      <w:r>
        <w:rPr>
          <w:rFonts w:hint="default" w:ascii="Times New Roman" w:hAnsi="Times New Roman" w:eastAsia="Helvetica" w:cs="Times New Roman"/>
          <w:i w:val="0"/>
          <w:iCs w:val="0"/>
          <w:caps w:val="0"/>
          <w:color w:val="333333"/>
          <w:spacing w:val="0"/>
          <w:sz w:val="31"/>
          <w:szCs w:val="31"/>
          <w:shd w:val="clear" w:color="auto" w:fill="FFFFFF"/>
        </w:rPr>
        <w:t>39</w:t>
      </w:r>
      <w:r>
        <w:rPr>
          <w:rFonts w:hint="eastAsia" w:ascii="方正仿宋_GBK" w:hAnsi="方正仿宋_GBK" w:eastAsia="方正仿宋_GBK" w:cs="方正仿宋_GBK"/>
          <w:i w:val="0"/>
          <w:iCs w:val="0"/>
          <w:caps w:val="0"/>
          <w:color w:val="333333"/>
          <w:spacing w:val="0"/>
          <w:sz w:val="31"/>
          <w:szCs w:val="31"/>
          <w:shd w:val="clear" w:color="auto" w:fill="FFFFFF"/>
        </w:rPr>
        <w:t>号）或者《私募投资基金监督管理暂行办法》（证监会令第</w:t>
      </w:r>
      <w:r>
        <w:rPr>
          <w:rFonts w:hint="default" w:ascii="Times New Roman" w:hAnsi="Times New Roman" w:eastAsia="Helvetica" w:cs="Times New Roman"/>
          <w:i w:val="0"/>
          <w:iCs w:val="0"/>
          <w:caps w:val="0"/>
          <w:color w:val="333333"/>
          <w:spacing w:val="0"/>
          <w:sz w:val="31"/>
          <w:szCs w:val="31"/>
          <w:shd w:val="clear" w:color="auto" w:fill="FFFFFF"/>
        </w:rPr>
        <w:t>105</w:t>
      </w:r>
      <w:r>
        <w:rPr>
          <w:rFonts w:hint="eastAsia" w:ascii="方正仿宋_GBK" w:hAnsi="方正仿宋_GBK" w:eastAsia="方正仿宋_GBK" w:cs="方正仿宋_GBK"/>
          <w:i w:val="0"/>
          <w:iCs w:val="0"/>
          <w:caps w:val="0"/>
          <w:color w:val="333333"/>
          <w:spacing w:val="0"/>
          <w:sz w:val="31"/>
          <w:szCs w:val="31"/>
          <w:shd w:val="clear" w:color="auto" w:fill="FFFFFF"/>
        </w:rPr>
        <w:t>号）相关规定，按照上述规定完成备案且规范运作的创业投资基金及私募股权投资基金。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（五）“</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类知识产权”包括发明专利（含国防专利）、植物新品种、国家级农作物品种、国家新药、国家一级中药保护品种、集成电路布图设计专有权（均不包含转让未满</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年的知识产权）。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（六）“</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类高价值知识产权”须符合以下条件之一：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在海外有同族专利权的发明专利或在海外取得收入的其他</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类知识产权，其中专利限</w:t>
      </w:r>
      <w:r>
        <w:rPr>
          <w:rFonts w:hint="default" w:ascii="Times New Roman" w:hAnsi="Times New Roman" w:eastAsia="Helvetica" w:cs="Times New Roman"/>
          <w:i w:val="0"/>
          <w:iCs w:val="0"/>
          <w:caps w:val="0"/>
          <w:color w:val="333333"/>
          <w:spacing w:val="0"/>
          <w:sz w:val="31"/>
          <w:szCs w:val="31"/>
          <w:shd w:val="clear" w:color="auto" w:fill="FFFFFF"/>
        </w:rPr>
        <w:t> G20</w:t>
      </w:r>
      <w:r>
        <w:rPr>
          <w:rFonts w:hint="eastAsia" w:ascii="方正仿宋_GBK" w:hAnsi="方正仿宋_GBK" w:eastAsia="方正仿宋_GBK" w:cs="方正仿宋_GBK"/>
          <w:i w:val="0"/>
          <w:iCs w:val="0"/>
          <w:caps w:val="0"/>
          <w:color w:val="333333"/>
          <w:spacing w:val="0"/>
          <w:sz w:val="31"/>
          <w:szCs w:val="31"/>
          <w:shd w:val="clear" w:color="auto" w:fill="FFFFFF"/>
        </w:rPr>
        <w:t>成员、新加坡以及欧洲专利局经实质审查后获得授权的发明专利。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rPr>
        <w:t>维持年限超过</w:t>
      </w:r>
      <w:r>
        <w:rPr>
          <w:rFonts w:hint="default" w:ascii="Times New Roman" w:hAnsi="Times New Roman" w:eastAsia="Helvetica" w:cs="Times New Roman"/>
          <w:i w:val="0"/>
          <w:iCs w:val="0"/>
          <w:caps w:val="0"/>
          <w:color w:val="333333"/>
          <w:spacing w:val="0"/>
          <w:sz w:val="31"/>
          <w:szCs w:val="31"/>
          <w:shd w:val="clear" w:color="auto" w:fill="FFFFFF"/>
        </w:rPr>
        <w:t>10</w:t>
      </w:r>
      <w:r>
        <w:rPr>
          <w:rFonts w:hint="eastAsia" w:ascii="方正仿宋_GBK" w:hAnsi="方正仿宋_GBK" w:eastAsia="方正仿宋_GBK" w:cs="方正仿宋_GBK"/>
          <w:i w:val="0"/>
          <w:iCs w:val="0"/>
          <w:caps w:val="0"/>
          <w:color w:val="333333"/>
          <w:spacing w:val="0"/>
          <w:sz w:val="31"/>
          <w:szCs w:val="31"/>
          <w:shd w:val="clear" w:color="auto" w:fill="FFFFFF"/>
        </w:rPr>
        <w:t>年的</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3.</w:t>
      </w:r>
      <w:r>
        <w:rPr>
          <w:rFonts w:hint="eastAsia" w:ascii="方正仿宋_GBK" w:hAnsi="方正仿宋_GBK" w:eastAsia="方正仿宋_GBK" w:cs="方正仿宋_GBK"/>
          <w:i w:val="0"/>
          <w:iCs w:val="0"/>
          <w:caps w:val="0"/>
          <w:color w:val="333333"/>
          <w:spacing w:val="0"/>
          <w:sz w:val="31"/>
          <w:szCs w:val="31"/>
          <w:shd w:val="clear" w:color="auto" w:fill="FFFFFF"/>
        </w:rPr>
        <w:t>实现较高质押融资金额的</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default" w:ascii="Times New Roman" w:hAnsi="Times New Roman" w:eastAsia="Helvetica" w:cs="Times New Roman"/>
          <w:i w:val="0"/>
          <w:iCs w:val="0"/>
          <w:caps w:val="0"/>
          <w:color w:val="333333"/>
          <w:spacing w:val="0"/>
          <w:sz w:val="31"/>
          <w:szCs w:val="31"/>
          <w:shd w:val="clear" w:color="auto" w:fill="FFFFFF"/>
        </w:rPr>
        <w:t>4.</w:t>
      </w:r>
      <w:r>
        <w:rPr>
          <w:rFonts w:hint="eastAsia" w:ascii="方正仿宋_GBK" w:hAnsi="方正仿宋_GBK" w:eastAsia="方正仿宋_GBK" w:cs="方正仿宋_GBK"/>
          <w:i w:val="0"/>
          <w:iCs w:val="0"/>
          <w:caps w:val="0"/>
          <w:color w:val="333333"/>
          <w:spacing w:val="0"/>
          <w:sz w:val="31"/>
          <w:szCs w:val="31"/>
          <w:shd w:val="clear" w:color="auto" w:fill="FFFFFF"/>
        </w:rPr>
        <w:t>获得国家科学技术奖或中国专利奖的</w:t>
      </w:r>
      <w:r>
        <w:rPr>
          <w:rFonts w:hint="default" w:ascii="Times New Roman" w:hAnsi="Times New Roman" w:eastAsia="Helvetica" w:cs="Times New Roman"/>
          <w:i w:val="0"/>
          <w:iCs w:val="0"/>
          <w:caps w:val="0"/>
          <w:color w:val="333333"/>
          <w:spacing w:val="0"/>
          <w:sz w:val="31"/>
          <w:szCs w:val="31"/>
          <w:shd w:val="clear" w:color="auto" w:fill="FFFFFF"/>
        </w:rPr>
        <w:t>Ⅰ</w:t>
      </w:r>
      <w:r>
        <w:rPr>
          <w:rFonts w:hint="eastAsia" w:ascii="方正仿宋_GBK" w:hAnsi="方正仿宋_GBK" w:eastAsia="方正仿宋_GBK" w:cs="方正仿宋_GBK"/>
          <w:i w:val="0"/>
          <w:iCs w:val="0"/>
          <w:caps w:val="0"/>
          <w:color w:val="333333"/>
          <w:spacing w:val="0"/>
          <w:sz w:val="31"/>
          <w:szCs w:val="31"/>
          <w:shd w:val="clear" w:color="auto" w:fill="FFFFFF"/>
        </w:rPr>
        <w:t>类知识产权。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（七）所称“</w:t>
      </w:r>
      <w:r>
        <w:rPr>
          <w:rFonts w:hint="default" w:ascii="Times New Roman" w:hAnsi="Times New Roman" w:eastAsia="Helvetica" w:cs="Times New Roman"/>
          <w:i w:val="0"/>
          <w:iCs w:val="0"/>
          <w:caps w:val="0"/>
          <w:color w:val="333333"/>
          <w:spacing w:val="0"/>
          <w:sz w:val="31"/>
          <w:szCs w:val="31"/>
          <w:shd w:val="clear" w:color="auto" w:fill="FFFFFF"/>
        </w:rPr>
        <w:t>Ⅱ</w:t>
      </w:r>
      <w:r>
        <w:rPr>
          <w:rFonts w:hint="eastAsia" w:ascii="方正仿宋_GBK" w:hAnsi="方正仿宋_GBK" w:eastAsia="方正仿宋_GBK" w:cs="方正仿宋_GBK"/>
          <w:i w:val="0"/>
          <w:iCs w:val="0"/>
          <w:caps w:val="0"/>
          <w:color w:val="333333"/>
          <w:spacing w:val="0"/>
          <w:sz w:val="31"/>
          <w:szCs w:val="31"/>
          <w:shd w:val="clear" w:color="auto" w:fill="FFFFFF"/>
        </w:rPr>
        <w:t>类知识产权”包括与主导产品相关的软件著作权（不含商标）、授权后维持超过</w:t>
      </w:r>
      <w:r>
        <w:rPr>
          <w:rFonts w:hint="default" w:ascii="Times New Roman" w:hAnsi="Times New Roman" w:eastAsia="Helvetica" w:cs="Times New Roman"/>
          <w:i w:val="0"/>
          <w:iCs w:val="0"/>
          <w:caps w:val="0"/>
          <w:color w:val="333333"/>
          <w:spacing w:val="0"/>
          <w:sz w:val="31"/>
          <w:szCs w:val="31"/>
          <w:shd w:val="clear" w:color="auto" w:fill="FFFFFF"/>
        </w:rPr>
        <w:t>2</w:t>
      </w:r>
      <w:r>
        <w:rPr>
          <w:rFonts w:hint="eastAsia" w:ascii="方正仿宋_GBK" w:hAnsi="方正仿宋_GBK" w:eastAsia="方正仿宋_GBK" w:cs="方正仿宋_GBK"/>
          <w:i w:val="0"/>
          <w:iCs w:val="0"/>
          <w:caps w:val="0"/>
          <w:color w:val="333333"/>
          <w:spacing w:val="0"/>
          <w:sz w:val="31"/>
          <w:szCs w:val="31"/>
          <w:shd w:val="clear" w:color="auto" w:fill="FFFFFF"/>
        </w:rPr>
        <w:t>年的实用新型专利或外观设计专利（均不包含转让未满</w:t>
      </w:r>
      <w:r>
        <w:rPr>
          <w:rFonts w:hint="default" w:ascii="Times New Roman" w:hAnsi="Times New Roman" w:eastAsia="Helvetica" w:cs="Times New Roman"/>
          <w:i w:val="0"/>
          <w:iCs w:val="0"/>
          <w:caps w:val="0"/>
          <w:color w:val="333333"/>
          <w:spacing w:val="0"/>
          <w:sz w:val="31"/>
          <w:szCs w:val="31"/>
          <w:shd w:val="clear" w:color="auto" w:fill="FFFFFF"/>
        </w:rPr>
        <w:t>1</w:t>
      </w:r>
      <w:r>
        <w:rPr>
          <w:rFonts w:hint="eastAsia" w:ascii="方正仿宋_GBK" w:hAnsi="方正仿宋_GBK" w:eastAsia="方正仿宋_GBK" w:cs="方正仿宋_GBK"/>
          <w:i w:val="0"/>
          <w:iCs w:val="0"/>
          <w:caps w:val="0"/>
          <w:color w:val="333333"/>
          <w:spacing w:val="0"/>
          <w:sz w:val="31"/>
          <w:szCs w:val="31"/>
          <w:shd w:val="clear" w:color="auto" w:fill="FFFFFF"/>
        </w:rPr>
        <w:t>年的知识产权）。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rPr>
          <w:rFonts w:hint="default" w:ascii="Helvetica" w:hAnsi="Helvetica" w:eastAsia="Helvetica" w:cs="Helvetica"/>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shd w:val="clear" w:color="auto" w:fill="FFFFFF"/>
        </w:rPr>
        <w:t>（八）如无特殊说明，所称“以上”、“以下”，包括本数；所称的“超过”，不包括本数。在计算评价指标得分时，如指标值位于两个评分区间边界上，按高分计算得分。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OTYzMzJhZWY3NWRlYTcxNmMxODZmYmMxNTNiZmQifQ=="/>
  </w:docVars>
  <w:rsids>
    <w:rsidRoot w:val="6C806282"/>
    <w:rsid w:val="6C80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2022-10-27T08:28:00Z</dcterms:created>
  <dc:creator>逆风！</dc:creator>
  <cp:lastModifiedBy>逆风！</cp:lastModifiedBy>
  <dcterms:modified xsi:type="dcterms:W3CDTF">2022-10-27T08:29:01Z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34570DD8023049B6B3637DAA97069E7F</vt:lpwstr>
  </property>
</Properties>
</file>