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outlineLvl w:val="0"/>
        <w:rPr>
          <w:rFonts w:hint="eastAsia" w:ascii="方正小标宋_GBK" w:hAnsi="方正小标宋_GBK" w:eastAsia="方正小标宋_GBK"/>
          <w:color w:val="000000"/>
          <w:sz w:val="44"/>
          <w:szCs w:val="44"/>
          <w:lang w:eastAsia="zh-CN"/>
        </w:rPr>
      </w:pPr>
      <w:r>
        <w:rPr>
          <w:rFonts w:hint="eastAsia" w:ascii="方正小标宋_GBK" w:hAnsi="方正小标宋_GBK" w:eastAsia="方正小标宋_GBK"/>
          <w:color w:val="000000"/>
          <w:sz w:val="44"/>
          <w:szCs w:val="44"/>
          <w:lang w:eastAsia="zh-CN"/>
        </w:rPr>
        <w:t>重庆市万州区经济和信息化委员会</w:t>
      </w:r>
    </w:p>
    <w:p>
      <w:pPr>
        <w:keepNext w:val="0"/>
        <w:keepLines w:val="0"/>
        <w:pageBreakBefore w:val="0"/>
        <w:kinsoku/>
        <w:wordWrap/>
        <w:overflowPunct/>
        <w:topLinePunct w:val="0"/>
        <w:autoSpaceDE/>
        <w:autoSpaceDN/>
        <w:bidi w:val="0"/>
        <w:snapToGrid/>
        <w:spacing w:line="600" w:lineRule="exact"/>
        <w:jc w:val="center"/>
        <w:textAlignment w:val="auto"/>
      </w:pPr>
      <w:r>
        <w:rPr>
          <w:rFonts w:hint="eastAsia" w:ascii="方正小标宋_GBK" w:hAnsi="方正小标宋_GBK" w:eastAsia="方正小标宋_GBK" w:cs="方正小标宋_GBK"/>
          <w:spacing w:val="0"/>
          <w:sz w:val="44"/>
          <w:szCs w:val="44"/>
          <w:lang w:val="en-US" w:eastAsia="zh-CN"/>
        </w:rPr>
        <w:t>关于2022年度万州区工业发展资金经开区外</w:t>
      </w:r>
      <w:r>
        <w:rPr>
          <w:rFonts w:hint="eastAsia" w:ascii="方正小标宋_GBK" w:hAnsi="方正小标宋_GBK" w:eastAsia="方正小标宋_GBK"/>
          <w:color w:val="000000"/>
          <w:sz w:val="44"/>
          <w:szCs w:val="44"/>
          <w:lang w:val="en-US" w:eastAsia="zh-CN"/>
        </w:rPr>
        <w:t>企业拟支持项目名单的公示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pPr>
      <w:r>
        <w:rPr>
          <w:rFonts w:hint="eastAsia" w:ascii="方正小标宋_GBK" w:hAnsi="方正小标宋_GBK" w:eastAsia="方正小标宋_GBK" w:cs="方正小标宋_GBK"/>
          <w:color w:val="333333"/>
          <w:sz w:val="44"/>
          <w:szCs w:val="44"/>
          <w:shd w:val="clear" w:fill="FFFFFF"/>
          <w:lang w:val="en-US"/>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val="en-US" w:eastAsia="zh-CN"/>
        </w:rPr>
      </w:pPr>
      <w:r>
        <w:rPr>
          <w:rFonts w:hint="eastAsia" w:ascii="方正仿宋_GBK" w:eastAsia="方正仿宋_GBK"/>
          <w:color w:val="auto"/>
          <w:sz w:val="32"/>
          <w:szCs w:val="32"/>
          <w:highlight w:val="none"/>
          <w:u w:val="none"/>
          <w:lang w:eastAsia="zh-CN"/>
        </w:rPr>
        <w:t>为全面贯彻新发展理念，着力推进“一区一枢纽两中心”建设，深入践行工业强区战略，做大做强工业经济，推动我区制造业高质量发展。</w:t>
      </w:r>
      <w:r>
        <w:rPr>
          <w:rStyle w:val="14"/>
          <w:rFonts w:ascii="方正仿宋_GBK" w:eastAsia="方正仿宋_GBK"/>
          <w:i w:val="0"/>
          <w:iCs/>
          <w:color w:val="000000"/>
          <w:kern w:val="2"/>
          <w:sz w:val="32"/>
          <w:szCs w:val="32"/>
          <w:lang w:val="en-US" w:eastAsia="zh-CN" w:bidi="ar-SA"/>
        </w:rPr>
        <w:t>按照</w:t>
      </w:r>
      <w:r>
        <w:rPr>
          <w:rStyle w:val="14"/>
          <w:rFonts w:hint="eastAsia" w:ascii="方正仿宋_GBK" w:hAnsi="方正仿宋_GBK" w:eastAsia="方正仿宋_GBK"/>
          <w:i w:val="0"/>
          <w:iCs/>
          <w:kern w:val="2"/>
          <w:sz w:val="32"/>
          <w:szCs w:val="32"/>
          <w:lang w:val="en-US" w:eastAsia="zh-CN" w:bidi="ar-SA"/>
        </w:rPr>
        <w:t>《</w:t>
      </w:r>
      <w:r>
        <w:rPr>
          <w:rStyle w:val="14"/>
          <w:rFonts w:hint="eastAsia" w:ascii="Times New Roman" w:hAnsi="Times New Roman" w:eastAsia="方正仿宋_GBK"/>
          <w:i w:val="0"/>
          <w:iCs/>
          <w:kern w:val="2"/>
          <w:sz w:val="32"/>
          <w:szCs w:val="32"/>
          <w:lang w:val="en-US" w:eastAsia="zh-CN" w:bidi="ar-SA"/>
        </w:rPr>
        <w:t>202</w:t>
      </w:r>
      <w:r>
        <w:rPr>
          <w:rStyle w:val="14"/>
          <w:rFonts w:hint="eastAsia" w:ascii="Times New Roman" w:hAnsi="Times New Roman"/>
          <w:i w:val="0"/>
          <w:iCs/>
          <w:kern w:val="2"/>
          <w:sz w:val="32"/>
          <w:szCs w:val="32"/>
          <w:lang w:val="en-US" w:eastAsia="zh-CN" w:bidi="ar-SA"/>
        </w:rPr>
        <w:t>2</w:t>
      </w:r>
      <w:r>
        <w:rPr>
          <w:rStyle w:val="14"/>
          <w:rFonts w:hint="eastAsia" w:ascii="方正仿宋_GBK" w:hAnsi="方正仿宋_GBK" w:eastAsia="方正仿宋_GBK"/>
          <w:i w:val="0"/>
          <w:iCs/>
          <w:kern w:val="2"/>
          <w:sz w:val="32"/>
          <w:szCs w:val="32"/>
          <w:lang w:val="en-US" w:eastAsia="zh-CN" w:bidi="ar-SA"/>
        </w:rPr>
        <w:t>年度万州区工业发展专项资金安排使用方案》</w:t>
      </w:r>
      <w:r>
        <w:rPr>
          <w:rStyle w:val="14"/>
          <w:rFonts w:hint="eastAsia" w:ascii="方正仿宋_GBK" w:hAnsi="方正仿宋_GBK"/>
          <w:i w:val="0"/>
          <w:iCs/>
          <w:kern w:val="2"/>
          <w:sz w:val="32"/>
          <w:szCs w:val="32"/>
          <w:lang w:val="en-US" w:eastAsia="zh-CN" w:bidi="ar-SA"/>
        </w:rPr>
        <w:t>（</w:t>
      </w:r>
      <w:r>
        <w:rPr>
          <w:rStyle w:val="14"/>
          <w:rFonts w:hint="eastAsia" w:ascii="方正仿宋_GBK" w:hAnsi="方正仿宋_GBK" w:eastAsia="方正仿宋_GBK"/>
          <w:i w:val="0"/>
          <w:iCs/>
          <w:kern w:val="2"/>
          <w:sz w:val="32"/>
          <w:szCs w:val="32"/>
          <w:lang w:val="en-US" w:eastAsia="zh-CN" w:bidi="ar-SA"/>
        </w:rPr>
        <w:t>万州经信发〔</w:t>
      </w:r>
      <w:r>
        <w:rPr>
          <w:rStyle w:val="14"/>
          <w:rFonts w:hint="eastAsia" w:ascii="Times New Roman" w:hAnsi="Times New Roman" w:eastAsia="方正仿宋_GBK"/>
          <w:i w:val="0"/>
          <w:iCs/>
          <w:kern w:val="2"/>
          <w:sz w:val="32"/>
          <w:szCs w:val="32"/>
          <w:lang w:val="en-US" w:eastAsia="zh-CN" w:bidi="ar-SA"/>
        </w:rPr>
        <w:t>202</w:t>
      </w:r>
      <w:r>
        <w:rPr>
          <w:rStyle w:val="14"/>
          <w:rFonts w:hint="eastAsia" w:ascii="Times New Roman" w:hAnsi="Times New Roman"/>
          <w:i w:val="0"/>
          <w:iCs/>
          <w:kern w:val="2"/>
          <w:sz w:val="32"/>
          <w:szCs w:val="32"/>
          <w:lang w:val="en-US" w:eastAsia="zh-CN" w:bidi="ar-SA"/>
        </w:rPr>
        <w:t>2</w:t>
      </w:r>
      <w:r>
        <w:rPr>
          <w:rStyle w:val="14"/>
          <w:rFonts w:hint="eastAsia" w:ascii="方正仿宋_GBK" w:hAnsi="方正仿宋_GBK" w:eastAsia="方正仿宋_GBK"/>
          <w:i w:val="0"/>
          <w:iCs/>
          <w:kern w:val="2"/>
          <w:sz w:val="32"/>
          <w:szCs w:val="32"/>
          <w:lang w:val="en-US" w:eastAsia="zh-CN" w:bidi="ar-SA"/>
        </w:rPr>
        <w:t>〕</w:t>
      </w:r>
      <w:r>
        <w:rPr>
          <w:rStyle w:val="14"/>
          <w:rFonts w:hint="eastAsia" w:ascii="Times New Roman" w:hAnsi="Times New Roman"/>
          <w:i w:val="0"/>
          <w:iCs/>
          <w:kern w:val="2"/>
          <w:sz w:val="32"/>
          <w:szCs w:val="32"/>
          <w:lang w:val="en-US" w:eastAsia="zh-CN" w:bidi="ar-SA"/>
        </w:rPr>
        <w:t>23</w:t>
      </w:r>
      <w:r>
        <w:rPr>
          <w:rStyle w:val="14"/>
          <w:rFonts w:hint="eastAsia" w:ascii="方正仿宋_GBK" w:hAnsi="方正仿宋_GBK" w:eastAsia="方正仿宋_GBK"/>
          <w:i w:val="0"/>
          <w:iCs/>
          <w:kern w:val="2"/>
          <w:sz w:val="32"/>
          <w:szCs w:val="32"/>
          <w:lang w:val="en-US" w:eastAsia="zh-CN" w:bidi="ar-SA"/>
        </w:rPr>
        <w:t>号</w:t>
      </w:r>
      <w:r>
        <w:rPr>
          <w:rStyle w:val="14"/>
          <w:rFonts w:hint="eastAsia" w:ascii="方正仿宋_GBK" w:hAnsi="方正仿宋_GBK"/>
          <w:i w:val="0"/>
          <w:iCs/>
          <w:kern w:val="2"/>
          <w:sz w:val="32"/>
          <w:szCs w:val="32"/>
          <w:lang w:val="en-US" w:eastAsia="zh-CN" w:bidi="ar-SA"/>
        </w:rPr>
        <w:t>）</w:t>
      </w:r>
      <w:r>
        <w:rPr>
          <w:rStyle w:val="14"/>
          <w:rFonts w:ascii="方正仿宋_GBK" w:hAnsi="方正仿宋_GBK" w:eastAsia="方正仿宋_GBK"/>
          <w:i w:val="0"/>
          <w:iCs/>
          <w:kern w:val="2"/>
          <w:sz w:val="32"/>
          <w:szCs w:val="32"/>
          <w:lang w:val="en-US" w:eastAsia="zh-CN" w:bidi="ar-SA"/>
        </w:rPr>
        <w:t>及</w:t>
      </w:r>
      <w:r>
        <w:rPr>
          <w:rFonts w:hint="eastAsia" w:ascii="方正仿宋_GBK" w:hAnsi="方正仿宋_GBK" w:eastAsia="方正仿宋_GBK" w:cs="方正仿宋_GBK"/>
          <w:kern w:val="2"/>
          <w:sz w:val="32"/>
          <w:szCs w:val="32"/>
          <w:lang w:val="en-US" w:eastAsia="zh-CN" w:bidi="ar-SA"/>
        </w:rPr>
        <w:t>《关于开展</w:t>
      </w:r>
      <w:r>
        <w:rPr>
          <w:rFonts w:hint="eastAsia" w:ascii="Times New Roman" w:hAnsi="Times New Roman" w:eastAsia="方正仿宋_GBK" w:cs="方正仿宋_GBK"/>
          <w:kern w:val="2"/>
          <w:sz w:val="32"/>
          <w:szCs w:val="32"/>
          <w:lang w:val="en-US" w:eastAsia="zh-CN" w:bidi="ar-SA"/>
        </w:rPr>
        <w:t>2022</w:t>
      </w:r>
      <w:r>
        <w:rPr>
          <w:rFonts w:hint="eastAsia" w:ascii="方正仿宋_GBK" w:hAnsi="方正仿宋_GBK" w:eastAsia="方正仿宋_GBK" w:cs="方正仿宋_GBK"/>
          <w:kern w:val="2"/>
          <w:sz w:val="32"/>
          <w:szCs w:val="32"/>
          <w:lang w:val="en-US" w:eastAsia="zh-CN" w:bidi="ar-SA"/>
        </w:rPr>
        <w:t>年度万州区工业发展专项资金申报工作的通知》（万州经信发〔</w:t>
      </w: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02</w:t>
      </w:r>
      <w:r>
        <w:rPr>
          <w:rFonts w:hint="eastAsia" w:ascii="Times New Roman" w:hAnsi="Times New Roman"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Times New Roman" w:hAnsi="Times New Roman" w:cs="方正仿宋_GBK"/>
          <w:sz w:val="32"/>
          <w:szCs w:val="32"/>
          <w:lang w:val="en-US" w:eastAsia="zh-CN"/>
        </w:rPr>
        <w:t>2</w:t>
      </w:r>
      <w:r>
        <w:rPr>
          <w:rFonts w:hint="eastAsia" w:ascii="Times New Roman" w:hAnsi="Times New Roman" w:eastAsia="方正仿宋_GBK" w:cs="方正仿宋_GBK"/>
          <w:sz w:val="32"/>
          <w:szCs w:val="32"/>
          <w:lang w:val="en-US" w:eastAsia="zh-CN"/>
        </w:rPr>
        <w:t>9</w:t>
      </w:r>
      <w:r>
        <w:rPr>
          <w:rFonts w:hint="eastAsia" w:ascii="方正仿宋_GBK" w:hAnsi="方正仿宋_GBK" w:eastAsia="方正仿宋_GBK" w:cs="方正仿宋_GBK"/>
          <w:sz w:val="32"/>
          <w:szCs w:val="32"/>
        </w:rPr>
        <w:t>号）</w:t>
      </w:r>
      <w:r>
        <w:rPr>
          <w:rStyle w:val="14"/>
          <w:rFonts w:ascii="方正仿宋_GBK" w:eastAsia="方正仿宋_GBK"/>
          <w:i w:val="0"/>
          <w:iCs/>
          <w:color w:val="000000"/>
          <w:kern w:val="2"/>
          <w:sz w:val="32"/>
          <w:szCs w:val="32"/>
          <w:lang w:val="en-US" w:eastAsia="zh-CN" w:bidi="ar-SA"/>
        </w:rPr>
        <w:t>（以下简称申报通知）要求，</w:t>
      </w:r>
      <w:r>
        <w:rPr>
          <w:rFonts w:hint="eastAsia" w:ascii="方正仿宋_GBK" w:eastAsia="方正仿宋_GBK"/>
          <w:color w:val="auto"/>
          <w:sz w:val="32"/>
          <w:szCs w:val="32"/>
          <w:highlight w:val="none"/>
          <w:u w:val="none"/>
          <w:lang w:val="en-US" w:eastAsia="zh-CN"/>
        </w:rPr>
        <w:t>区经济信息委完成了</w:t>
      </w:r>
      <w:r>
        <w:rPr>
          <w:rFonts w:hint="default" w:ascii="Times New Roman" w:hAnsi="Times New Roman" w:eastAsia="方正仿宋_GBK" w:cs="Times New Roman"/>
          <w:color w:val="auto"/>
          <w:sz w:val="32"/>
          <w:szCs w:val="32"/>
          <w:highlight w:val="none"/>
          <w:u w:val="none"/>
          <w:lang w:val="en-US" w:eastAsia="zh-CN"/>
        </w:rPr>
        <w:t>20</w:t>
      </w:r>
      <w:r>
        <w:rPr>
          <w:rFonts w:hint="default" w:ascii="Times New Roman" w:hAnsi="Times New Roman" w:eastAsia="方正仿宋_GBK" w:cs="Times New Roman"/>
          <w:b w:val="0"/>
          <w:bCs w:val="0"/>
          <w:color w:val="auto"/>
          <w:sz w:val="32"/>
          <w:szCs w:val="32"/>
          <w:highlight w:val="none"/>
          <w:u w:val="none"/>
          <w:lang w:val="en-US" w:eastAsia="zh-CN"/>
        </w:rPr>
        <w:t>2</w:t>
      </w:r>
      <w:r>
        <w:rPr>
          <w:rFonts w:hint="default" w:ascii="Times New Roman" w:hAnsi="Times New Roman" w:eastAsia="方正仿宋_GBK" w:cs="Times New Roman"/>
          <w:color w:val="auto"/>
          <w:sz w:val="32"/>
          <w:szCs w:val="32"/>
          <w:highlight w:val="none"/>
          <w:u w:val="none"/>
          <w:lang w:val="en-US" w:eastAsia="zh-CN"/>
        </w:rPr>
        <w:t>2</w:t>
      </w:r>
      <w:r>
        <w:rPr>
          <w:rFonts w:hint="eastAsia" w:ascii="方正仿宋_GBK" w:eastAsia="方正仿宋_GBK"/>
          <w:color w:val="auto"/>
          <w:sz w:val="32"/>
          <w:szCs w:val="32"/>
          <w:highlight w:val="none"/>
          <w:u w:val="none"/>
          <w:lang w:val="en-US" w:eastAsia="zh-CN"/>
        </w:rPr>
        <w:t>年度万州区工业发展专项资金经开区外企业项目申报审核各项管理工作流程。经区政府审定，拟对“重庆京穗船舶制造有限公司国家两化融合管理体系认证项目”等</w:t>
      </w:r>
      <w:r>
        <w:rPr>
          <w:rFonts w:hint="eastAsia" w:ascii="Times New Roman" w:hAnsi="Times New Roman" w:eastAsia="方正仿宋_GBK" w:cs="Times New Roman"/>
          <w:color w:val="auto"/>
          <w:sz w:val="32"/>
          <w:szCs w:val="32"/>
          <w:highlight w:val="none"/>
          <w:u w:val="none"/>
          <w:lang w:val="en-US" w:eastAsia="zh-CN"/>
        </w:rPr>
        <w:t>50个项目给</w:t>
      </w:r>
      <w:r>
        <w:rPr>
          <w:rFonts w:hint="eastAsia" w:ascii="方正仿宋_GBK" w:eastAsia="方正仿宋_GBK"/>
          <w:color w:val="auto"/>
          <w:sz w:val="32"/>
          <w:szCs w:val="32"/>
          <w:highlight w:val="none"/>
          <w:u w:val="none"/>
          <w:lang w:val="en-US" w:eastAsia="zh-CN"/>
        </w:rPr>
        <w:t>予支持奖励。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eastAsia="zh-CN"/>
        </w:rPr>
      </w:pPr>
      <w:r>
        <w:rPr>
          <w:rFonts w:hint="eastAsia" w:ascii="方正仿宋_GBK" w:eastAsia="方正仿宋_GBK"/>
          <w:color w:val="auto"/>
          <w:sz w:val="32"/>
          <w:szCs w:val="32"/>
          <w:highlight w:val="none"/>
          <w:u w:val="none"/>
          <w:lang w:val="en-US" w:eastAsia="zh-CN"/>
        </w:rPr>
        <w:t>根据《万州区</w:t>
      </w:r>
      <w:r>
        <w:rPr>
          <w:rFonts w:hint="eastAsia" w:ascii="Times New Roman" w:hAnsi="Times New Roman" w:eastAsia="方正仿宋_GBK" w:cs="Times New Roman"/>
          <w:color w:val="auto"/>
          <w:sz w:val="32"/>
          <w:szCs w:val="32"/>
          <w:highlight w:val="none"/>
          <w:u w:val="none"/>
          <w:lang w:val="en-US" w:eastAsia="zh-CN"/>
        </w:rPr>
        <w:t>区级产业发展资金项目管理暂行办法（试行）》（万州发改投〔2018〕64号）等文件规定，现将2022年度</w:t>
      </w:r>
      <w:r>
        <w:rPr>
          <w:rFonts w:hint="eastAsia" w:ascii="方正仿宋_GBK" w:eastAsia="方正仿宋_GBK"/>
          <w:color w:val="auto"/>
          <w:sz w:val="32"/>
          <w:szCs w:val="32"/>
          <w:highlight w:val="none"/>
          <w:u w:val="none"/>
          <w:lang w:val="en-US" w:eastAsia="zh-CN"/>
        </w:rPr>
        <w:t>万州区工业发展专项资金经开区外企业拟支持名单予以公示，欢迎社会各界监督。公示期间，如对项目有异议，请实名来电或来访反映。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eastAsia="zh-CN"/>
        </w:rPr>
      </w:pPr>
      <w:r>
        <w:rPr>
          <w:rFonts w:hint="eastAsia" w:ascii="方正仿宋_GBK" w:eastAsia="方正仿宋_GBK"/>
          <w:color w:val="auto"/>
          <w:sz w:val="32"/>
          <w:szCs w:val="32"/>
          <w:highlight w:val="none"/>
          <w:u w:val="none"/>
          <w:lang w:val="en-US" w:eastAsia="zh-CN"/>
        </w:rPr>
        <w:t>公示时间：</w:t>
      </w:r>
      <w:r>
        <w:rPr>
          <w:rFonts w:hint="eastAsia" w:ascii="Times New Roman" w:hAnsi="Times New Roman" w:eastAsia="方正仿宋_GBK" w:cs="Times New Roman"/>
          <w:color w:val="auto"/>
          <w:sz w:val="32"/>
          <w:szCs w:val="32"/>
          <w:highlight w:val="none"/>
          <w:u w:val="none"/>
          <w:lang w:val="en-US" w:eastAsia="zh-CN"/>
        </w:rPr>
        <w:t>2022年12月1日-12月5日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val="en-US" w:eastAsia="zh-CN"/>
        </w:rPr>
      </w:pPr>
      <w:r>
        <w:rPr>
          <w:rFonts w:hint="eastAsia" w:ascii="方正仿宋_GBK" w:eastAsia="方正仿宋_GBK"/>
          <w:color w:val="auto"/>
          <w:sz w:val="32"/>
          <w:szCs w:val="32"/>
          <w:highlight w:val="none"/>
          <w:u w:val="none"/>
          <w:lang w:val="en-US" w:eastAsia="zh-CN"/>
        </w:rPr>
        <w:t>监督电话：</w:t>
      </w:r>
      <w:r>
        <w:rPr>
          <w:rFonts w:hint="eastAsia" w:ascii="Times New Roman" w:hAnsi="Times New Roman" w:eastAsia="方正仿宋_GBK" w:cs="Times New Roman"/>
          <w:color w:val="auto"/>
          <w:sz w:val="32"/>
          <w:szCs w:val="32"/>
          <w:highlight w:val="none"/>
          <w:u w:val="none"/>
          <w:lang w:val="en-US" w:eastAsia="zh-CN"/>
        </w:rPr>
        <w:t>023—58520376、58520886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eastAsia="zh-CN"/>
        </w:rPr>
      </w:pPr>
      <w:r>
        <w:rPr>
          <w:rFonts w:hint="eastAsia" w:ascii="方正仿宋_GBK" w:eastAsia="方正仿宋_GBK"/>
          <w:color w:val="auto"/>
          <w:sz w:val="32"/>
          <w:szCs w:val="32"/>
          <w:highlight w:val="none"/>
          <w:u w:val="none"/>
          <w:lang w:val="en-US" w:eastAsia="zh-CN"/>
        </w:rPr>
        <w:t>接访地点：万州区江南大</w:t>
      </w:r>
      <w:r>
        <w:rPr>
          <w:rFonts w:hint="eastAsia" w:ascii="Times New Roman" w:hAnsi="Times New Roman" w:eastAsia="方正仿宋_GBK" w:cs="Times New Roman"/>
          <w:color w:val="auto"/>
          <w:sz w:val="32"/>
          <w:szCs w:val="32"/>
          <w:highlight w:val="none"/>
          <w:u w:val="none"/>
          <w:lang w:val="en-US" w:eastAsia="zh-CN"/>
        </w:rPr>
        <w:t>道2号区政府大楼613室、616</w:t>
      </w:r>
      <w:r>
        <w:rPr>
          <w:rFonts w:hint="eastAsia" w:ascii="方正仿宋_GBK" w:eastAsia="方正仿宋_GBK"/>
          <w:color w:val="auto"/>
          <w:sz w:val="32"/>
          <w:szCs w:val="32"/>
          <w:highlight w:val="none"/>
          <w:u w:val="none"/>
          <w:lang w:val="en-US" w:eastAsia="zh-CN"/>
        </w:rPr>
        <w:t>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val="en-US" w:eastAsia="zh-CN"/>
        </w:rPr>
      </w:pPr>
      <w:r>
        <w:rPr>
          <w:rFonts w:hint="eastAsia" w:ascii="方正仿宋_GBK" w:eastAsia="方正仿宋_GBK"/>
          <w:color w:val="auto"/>
          <w:sz w:val="32"/>
          <w:szCs w:val="32"/>
          <w:highlight w:val="none"/>
          <w:u w:val="none"/>
          <w:lang w:val="en-US" w:eastAsia="zh-CN"/>
        </w:rPr>
        <w:t>附件：</w:t>
      </w:r>
      <w:r>
        <w:rPr>
          <w:rFonts w:hint="eastAsia" w:ascii="Times New Roman" w:hAnsi="Times New Roman" w:eastAsia="方正仿宋_GBK" w:cs="Times New Roman"/>
          <w:b w:val="0"/>
          <w:bCs w:val="0"/>
          <w:color w:val="auto"/>
          <w:sz w:val="32"/>
          <w:szCs w:val="32"/>
          <w:highlight w:val="none"/>
          <w:u w:val="none"/>
          <w:lang w:val="en-US" w:eastAsia="zh-CN"/>
        </w:rPr>
        <w:t>2022年度万州</w:t>
      </w:r>
      <w:r>
        <w:rPr>
          <w:rFonts w:hint="eastAsia" w:ascii="方正仿宋_GBK" w:eastAsia="方正仿宋_GBK"/>
          <w:color w:val="auto"/>
          <w:sz w:val="32"/>
          <w:szCs w:val="32"/>
          <w:highlight w:val="none"/>
          <w:u w:val="none"/>
          <w:lang w:val="en-US" w:eastAsia="zh-CN"/>
        </w:rPr>
        <w:t xml:space="preserve">区工业发展专项资金经开区外企业拟支持项目名单公示汇总表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eastAsia="zh-CN"/>
        </w:rPr>
      </w:pPr>
      <w:r>
        <w:rPr>
          <w:rFonts w:hint="eastAsia" w:ascii="方正仿宋_GBK" w:eastAsia="方正仿宋_GBK"/>
          <w:color w:val="auto"/>
          <w:sz w:val="32"/>
          <w:szCs w:val="32"/>
          <w:highlight w:val="none"/>
          <w:u w:val="none"/>
          <w:lang w:val="en-US" w:eastAsia="zh-CN"/>
        </w:rPr>
        <w:t xml:space="preserve">                             区经济信息委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5120" w:firstLineChars="1600"/>
        <w:jc w:val="both"/>
        <w:outlineLvl w:val="0"/>
        <w:rPr>
          <w:rFonts w:hint="eastAsia" w:ascii="方正仿宋_GBK" w:eastAsia="方正仿宋_GBK"/>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2022年12月1</w:t>
      </w:r>
      <w:r>
        <w:rPr>
          <w:rFonts w:hint="eastAsia" w:ascii="方正仿宋_GBK" w:eastAsia="方正仿宋_GBK"/>
          <w:color w:val="auto"/>
          <w:sz w:val="32"/>
          <w:szCs w:val="32"/>
          <w:highlight w:val="none"/>
          <w:u w:val="none"/>
          <w:lang w:val="en-US" w:eastAsia="zh-CN"/>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outlineLvl w:val="0"/>
        <w:rPr>
          <w:rFonts w:hint="eastAsia" w:ascii="方正仿宋_GBK" w:eastAsia="方正仿宋_GBK"/>
          <w:color w:val="auto"/>
          <w:sz w:val="32"/>
          <w:szCs w:val="32"/>
          <w:highlight w:val="none"/>
          <w:u w:val="none"/>
          <w:lang w:val="en-US" w:eastAsia="zh-CN"/>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600" w:lineRule="exact"/>
        <w:jc w:val="both"/>
        <w:textAlignment w:val="baseline"/>
        <w:rPr>
          <w:rStyle w:val="14"/>
          <w:rFonts w:hint="eastAsia" w:ascii="黑体" w:hAnsi="黑体" w:eastAsia="黑体" w:cs="黑体"/>
          <w:i w:val="0"/>
          <w:iCs/>
          <w:color w:val="000000"/>
          <w:kern w:val="0"/>
          <w:sz w:val="32"/>
          <w:szCs w:val="32"/>
          <w:lang w:val="en-US" w:eastAsia="zh-CN" w:bidi="ar-SA"/>
        </w:rPr>
      </w:pPr>
    </w:p>
    <w:p>
      <w:pPr>
        <w:pStyle w:val="2"/>
        <w:rPr>
          <w:rStyle w:val="14"/>
          <w:rFonts w:hint="eastAsia" w:ascii="黑体" w:hAnsi="黑体" w:eastAsia="黑体" w:cs="黑体"/>
          <w:i w:val="0"/>
          <w:iCs/>
          <w:color w:val="000000"/>
          <w:kern w:val="0"/>
          <w:sz w:val="32"/>
          <w:szCs w:val="32"/>
          <w:lang w:val="en-US" w:eastAsia="zh-CN" w:bidi="ar-SA"/>
        </w:rPr>
      </w:pPr>
    </w:p>
    <w:p>
      <w:pPr>
        <w:pStyle w:val="2"/>
        <w:rPr>
          <w:rStyle w:val="14"/>
          <w:rFonts w:hint="eastAsia" w:ascii="黑体" w:hAnsi="黑体" w:eastAsia="黑体" w:cs="黑体"/>
          <w:i w:val="0"/>
          <w:iCs/>
          <w:color w:val="000000"/>
          <w:kern w:val="0"/>
          <w:sz w:val="32"/>
          <w:szCs w:val="32"/>
          <w:lang w:val="en-US" w:eastAsia="zh-CN" w:bidi="ar-SA"/>
        </w:rPr>
      </w:pPr>
    </w:p>
    <w:p>
      <w:pPr>
        <w:pStyle w:val="2"/>
        <w:rPr>
          <w:rStyle w:val="14"/>
          <w:rFonts w:hint="eastAsia" w:ascii="黑体" w:hAnsi="黑体" w:eastAsia="黑体" w:cs="黑体"/>
          <w:i w:val="0"/>
          <w:iCs/>
          <w:color w:val="000000"/>
          <w:kern w:val="0"/>
          <w:sz w:val="32"/>
          <w:szCs w:val="32"/>
          <w:lang w:val="en-US" w:eastAsia="zh-CN" w:bidi="ar-SA"/>
        </w:rPr>
      </w:pPr>
      <w:bookmarkStart w:id="0" w:name="_GoBack"/>
      <w:bookmarkEnd w:id="0"/>
    </w:p>
    <w:p>
      <w:pPr>
        <w:widowControl/>
        <w:spacing w:line="480" w:lineRule="exact"/>
        <w:jc w:val="both"/>
        <w:textAlignment w:val="baseline"/>
        <w:rPr>
          <w:rFonts w:hint="eastAsia" w:ascii="方正小标宋_GBK" w:hAnsi="方正小标宋_GBK" w:eastAsia="方正小标宋_GBK" w:cs="方正小标宋_GBK"/>
          <w:color w:val="333333"/>
          <w:kern w:val="0"/>
          <w:sz w:val="32"/>
          <w:szCs w:val="24"/>
          <w:shd w:val="clear" w:fill="FFFFFF"/>
          <w:lang w:val="en-US" w:eastAsia="zh-CN" w:bidi="ar"/>
        </w:rPr>
      </w:pPr>
      <w:r>
        <w:rPr>
          <w:rStyle w:val="14"/>
          <w:rFonts w:hint="eastAsia" w:ascii="黑体" w:hAnsi="黑体" w:eastAsia="黑体" w:cs="黑体"/>
          <w:i w:val="0"/>
          <w:iCs/>
          <w:color w:val="000000"/>
          <w:kern w:val="0"/>
          <w:sz w:val="32"/>
          <w:szCs w:val="32"/>
          <w:lang w:val="en-US" w:eastAsia="zh-CN" w:bidi="ar-SA"/>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center"/>
        <w:rPr>
          <w:rFonts w:hint="eastAsia" w:ascii="方正小标宋_GBK" w:hAnsi="方正小标宋_GBK" w:eastAsia="方正小标宋_GBK" w:cs="方正小标宋_GBK"/>
          <w:color w:val="333333"/>
          <w:kern w:val="0"/>
          <w:sz w:val="36"/>
          <w:szCs w:val="36"/>
          <w:shd w:val="clear" w:fill="FFFFFF"/>
          <w:lang w:val="en-US" w:eastAsia="zh-CN" w:bidi="ar"/>
        </w:rPr>
      </w:pPr>
      <w:r>
        <w:rPr>
          <w:rFonts w:hint="eastAsia" w:ascii="方正小标宋_GBK" w:hAnsi="方正小标宋_GBK" w:eastAsia="方正小标宋_GBK" w:cs="方正小标宋_GBK"/>
          <w:color w:val="333333"/>
          <w:kern w:val="0"/>
          <w:sz w:val="36"/>
          <w:szCs w:val="36"/>
          <w:shd w:val="clear" w:fill="FFFFFF"/>
          <w:lang w:val="en-US" w:eastAsia="zh-CN" w:bidi="ar"/>
        </w:rPr>
        <w:t>2022年度万州区工业发展专项资金经开区外企业拟支持项目名单公示汇总表</w:t>
      </w:r>
    </w:p>
    <w:tbl>
      <w:tblPr>
        <w:tblStyle w:val="7"/>
        <w:tblW w:w="8996" w:type="dxa"/>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3244"/>
        <w:gridCol w:w="3431"/>
        <w:gridCol w:w="1069"/>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ascii="方正黑体_GBK" w:hAnsi="方正黑体_GBK" w:eastAsia="方正黑体_GBK" w:cs="方正黑体_GBK"/>
                <w:b w:val="0"/>
                <w:bCs/>
                <w:i w:val="0"/>
                <w:iCs/>
                <w:color w:val="000000"/>
                <w:kern w:val="2"/>
                <w:sz w:val="24"/>
                <w:szCs w:val="24"/>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ascii="方正黑体_GBK" w:hAnsi="方正黑体_GBK" w:eastAsia="方正黑体_GBK" w:cs="方正黑体_GBK"/>
                <w:b w:val="0"/>
                <w:bCs/>
                <w:i w:val="0"/>
                <w:iCs/>
                <w:color w:val="000000"/>
                <w:kern w:val="2"/>
                <w:sz w:val="24"/>
                <w:szCs w:val="24"/>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企业名称</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ascii="方正黑体_GBK" w:hAnsi="方正黑体_GBK" w:eastAsia="方正黑体_GBK" w:cs="方正黑体_GBK"/>
                <w:b w:val="0"/>
                <w:bCs/>
                <w:i w:val="0"/>
                <w:iCs/>
                <w:color w:val="000000"/>
                <w:kern w:val="2"/>
                <w:sz w:val="24"/>
                <w:szCs w:val="24"/>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项目名称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ascii="方正黑体_GBK" w:hAnsi="方正黑体_GBK" w:eastAsia="方正黑体_GBK" w:cs="方正黑体_GBK"/>
                <w:b w:val="0"/>
                <w:bCs/>
                <w:i w:val="0"/>
                <w:iCs/>
                <w:color w:val="000000"/>
                <w:kern w:val="2"/>
                <w:sz w:val="24"/>
                <w:szCs w:val="24"/>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支持方向</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重庆京穗船舶制造有限公司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国家两化融合管理体系认证项目</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b w:val="0"/>
                <w:bCs w:val="0"/>
                <w:i w:val="0"/>
                <w:color w:val="000000"/>
                <w:kern w:val="0"/>
                <w:sz w:val="24"/>
                <w:szCs w:val="24"/>
                <w:u w:val="none"/>
                <w:lang w:val="en-US" w:eastAsia="zh-CN" w:bidi="ar"/>
              </w:rPr>
              <w:t>智能制造</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重庆市锐远塑胶制品有限公司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国家两化融合管理体系认证项目</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智能制造</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重庆市万州区三峡绣手工艺品有限公司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上云上平台补助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智能制造</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中船重工重庆长平机械有限责任公司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技术创新示范企业复审补助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重庆迪康长江制药有限公司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技术创新示范企业复审补助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重庆京穗船舶制造有限公司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技术创新示范企业复审补助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重庆市树上鲜食品（集团）有限公司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技术创新示范企业认定补助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重庆江东机械有限责任公司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技术创新示范企业复审补助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重庆迪康长江制药有限公司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新产品产业化补助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重庆江东机械有限责任公司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新产品产业化补助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重庆谭木匠工艺品有限公司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研发投入补助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重庆市万州区三峡绣手工艺品有限公司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研发投入补助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重庆市万州区腾伟机械有限公司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研发投入补助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重庆市万州区伴神酿造有限公司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研发投入补助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重庆迪康长江制药有限公司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研发投入补助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中船重工重庆长平机械有限责任公司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研发投入补助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重庆江东机械有限责任公司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研发投入补助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科技创新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重庆市鱼泉榨菜（集团）有限公司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农产品出口贸易</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重庆江东机械有限责任公司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培育“小巨人”企业奖励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重庆江东机械有限责任公司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重庆市树上鲜食品（集团）有限公司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重庆富博生物技术有限公司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重庆谭木匠工艺品有限公司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重庆京穗船舶制造有限公司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重庆几维科技有限公司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重庆市万州区腾伟机械有限公司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重庆市锐远塑胶制品有限公司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重庆中成海实业有限公司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中船重工重庆长平机械有限责任公司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重庆市中凯金属制品涂装有限公司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重庆市万州区三峡绣手工艺品有限公司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重庆鑫隆旭机械有限公司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重庆市鱼泉榨菜（集团）有限公司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重庆市万州区伴神酿造有限公司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培育“专精特新”企业奖励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重庆迪康长江制药有限公司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企业经营奖励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重庆谭木匠工艺品有限公司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企业经营奖励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重庆市鱼泉榨菜（集团）有限公司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企业经营奖励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重庆市树上鲜食品(集团)有限公司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企业经营奖励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重庆欣万怡玻璃有限公司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升规培育奖励项目</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重庆江东金属铸造有限责任公司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升规培育奖励项目</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重庆鑫隆旭机械有限公司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升规培育奖励项目</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重庆淼霖木业有限公司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升规培育奖励项目</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重庆市禾益米业有限公司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升规培育奖励项目</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重庆市树上鲜食品（集团）有限公司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第104届全国糖酒商品交易会</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重庆迪康长江制药有限公司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第84届全国药品交易会</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重庆京穗船舶制造有限公司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2022年广州国际应急安全博览会</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重庆江东机械有限责任公司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展会补贴</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重庆迪康长江制药有限公司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引进紧缺实用型人才补助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4"/>
                <w:rFonts w:hint="eastAsia" w:ascii="方正仿宋_GBK" w:hAnsi="方正仿宋_GBK" w:eastAsia="方正仿宋_GBK" w:cs="方正仿宋_GBK"/>
                <w:i w:val="0"/>
                <w:iCs/>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重庆江东机械有限责任公司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引进紧缺实用型人才补助</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提质增效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重庆京穗船舶制造有限公司</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申请军品市场准入资质奖励</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军民融合</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OTU2Mjk2M2Y4M2MzYTBhYWM0MmRiZDcyYWNmYTQifQ=="/>
  </w:docVars>
  <w:rsids>
    <w:rsidRoot w:val="333144F7"/>
    <w:rsid w:val="00A641FB"/>
    <w:rsid w:val="051739B1"/>
    <w:rsid w:val="058C64B5"/>
    <w:rsid w:val="09E21D6F"/>
    <w:rsid w:val="0B283873"/>
    <w:rsid w:val="0FD078A6"/>
    <w:rsid w:val="11CD410F"/>
    <w:rsid w:val="14427CE5"/>
    <w:rsid w:val="14A01236"/>
    <w:rsid w:val="17032E37"/>
    <w:rsid w:val="232425F1"/>
    <w:rsid w:val="2331123B"/>
    <w:rsid w:val="2C5801F0"/>
    <w:rsid w:val="2E9E1C21"/>
    <w:rsid w:val="33045BE6"/>
    <w:rsid w:val="333144F7"/>
    <w:rsid w:val="350C5280"/>
    <w:rsid w:val="35566C66"/>
    <w:rsid w:val="3C527EA8"/>
    <w:rsid w:val="3C6D55F2"/>
    <w:rsid w:val="3F057D64"/>
    <w:rsid w:val="48452A2F"/>
    <w:rsid w:val="48607CA3"/>
    <w:rsid w:val="49971544"/>
    <w:rsid w:val="4CDD40CE"/>
    <w:rsid w:val="50AB587D"/>
    <w:rsid w:val="528B02C6"/>
    <w:rsid w:val="585F5874"/>
    <w:rsid w:val="5B5F0CA4"/>
    <w:rsid w:val="67393F40"/>
    <w:rsid w:val="67C317D1"/>
    <w:rsid w:val="687101EF"/>
    <w:rsid w:val="6BA918F3"/>
    <w:rsid w:val="6EA932FA"/>
    <w:rsid w:val="7BE92A89"/>
    <w:rsid w:val="7E6E7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next w:val="5"/>
    <w:qFormat/>
    <w:uiPriority w:val="0"/>
    <w:pPr>
      <w:ind w:left="600"/>
    </w:pPr>
    <w:rPr>
      <w:rFonts w:ascii="宋体" w:cs="宋体"/>
    </w:rPr>
  </w:style>
  <w:style w:type="paragraph" w:styleId="5">
    <w:name w:val="index 7"/>
    <w:basedOn w:val="1"/>
    <w:next w:val="1"/>
    <w:qFormat/>
    <w:uiPriority w:val="0"/>
    <w:pPr>
      <w:ind w:left="2520"/>
    </w:p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paragraph" w:customStyle="1" w:styleId="12">
    <w:name w:val="BodyText"/>
    <w:basedOn w:val="1"/>
    <w:next w:val="13"/>
    <w:qFormat/>
    <w:uiPriority w:val="0"/>
    <w:pPr>
      <w:spacing w:line="560" w:lineRule="exact"/>
      <w:jc w:val="both"/>
      <w:textAlignment w:val="baseline"/>
    </w:pPr>
    <w:rPr>
      <w:rFonts w:eastAsia="仿宋_GB2312"/>
      <w:kern w:val="2"/>
      <w:sz w:val="32"/>
      <w:szCs w:val="24"/>
      <w:lang w:val="en-US" w:eastAsia="zh-CN" w:bidi="ar-SA"/>
    </w:rPr>
  </w:style>
  <w:style w:type="paragraph" w:customStyle="1" w:styleId="13">
    <w:name w:val="Index7"/>
    <w:basedOn w:val="1"/>
    <w:next w:val="1"/>
    <w:qFormat/>
    <w:uiPriority w:val="0"/>
    <w:pPr>
      <w:ind w:left="1200" w:leftChars="1200"/>
      <w:jc w:val="both"/>
      <w:textAlignment w:val="baseline"/>
    </w:pPr>
  </w:style>
  <w:style w:type="character" w:customStyle="1" w:styleId="14">
    <w:name w:val="NormalCharacter"/>
    <w:link w:val="15"/>
    <w:semiHidden/>
    <w:qFormat/>
    <w:uiPriority w:val="0"/>
    <w:rPr>
      <w:rFonts w:ascii="宋体" w:hAnsi="宋体"/>
      <w:i/>
      <w:kern w:val="2"/>
      <w:sz w:val="24"/>
      <w:szCs w:val="24"/>
      <w:lang w:val="en-US" w:eastAsia="zh-CN" w:bidi="ar-SA"/>
    </w:rPr>
  </w:style>
  <w:style w:type="paragraph" w:customStyle="1" w:styleId="15">
    <w:name w:val="UserStyle_0"/>
    <w:basedOn w:val="1"/>
    <w:link w:val="14"/>
    <w:qFormat/>
    <w:uiPriority w:val="0"/>
    <w:pPr>
      <w:ind w:firstLine="540" w:firstLineChars="225"/>
      <w:jc w:val="both"/>
      <w:textAlignment w:val="baseline"/>
    </w:pPr>
    <w:rPr>
      <w:rFonts w:ascii="宋体" w:hAnsi="宋体"/>
      <w:i/>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1940</Words>
  <Characters>2051</Characters>
  <Lines>0</Lines>
  <Paragraphs>0</Paragraphs>
  <TotalTime>25</TotalTime>
  <ScaleCrop>false</ScaleCrop>
  <LinksUpToDate>false</LinksUpToDate>
  <CharactersWithSpaces>2132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2019-09-05T06:19:00Z</dcterms:created>
  <dc:creator>user</dc:creator>
  <cp:lastModifiedBy>深耕</cp:lastModifiedBy>
  <cp:lastPrinted>2022-12-01T03:01:00Z</cp:lastPrinted>
  <dcterms:modified xsi:type="dcterms:W3CDTF">2022-12-01T03:26:31Z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C13BDC319A6F4203BF302B0A1F45CA74</vt:lpwstr>
  </property>
</Properties>
</file>