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beforeLines="0" w:after="0" w:afterLines="0" w:line="240" w:lineRule="auto"/>
        <w:rPr>
          <w:rFonts w:ascii="方正仿宋_GBK" w:hAnsi="方正仿宋_GBK" w:cs="方正仿宋_GBK"/>
          <w:bCs/>
        </w:rPr>
      </w:pPr>
      <w:bookmarkStart w:id="2" w:name="_GoBack"/>
      <w:bookmarkEnd w:id="2"/>
    </w:p>
    <w:p>
      <w:pPr>
        <w:adjustRightInd/>
        <w:spacing w:beforeLines="0" w:after="0" w:afterLines="0" w:line="240" w:lineRule="auto"/>
        <w:rPr>
          <w:rFonts w:ascii="方正仿宋_GBK" w:hAnsi="方正仿宋_GBK" w:cs="方正仿宋_GBK"/>
          <w:bCs/>
        </w:rPr>
      </w:pPr>
    </w:p>
    <w:p>
      <w:pPr>
        <w:adjustRightInd/>
        <w:spacing w:beforeLines="0" w:after="0" w:afterLines="0" w:line="240" w:lineRule="auto"/>
        <w:rPr>
          <w:rFonts w:ascii="方正仿宋_GBK" w:hAnsi="方正仿宋_GBK" w:cs="方正仿宋_GBK"/>
          <w:bCs/>
        </w:rPr>
      </w:pPr>
    </w:p>
    <w:p>
      <w:pPr>
        <w:adjustRightInd/>
        <w:spacing w:beforeLines="0" w:after="0" w:afterLines="0" w:line="240" w:lineRule="auto"/>
        <w:rPr>
          <w:bCs/>
        </w:rPr>
      </w:pPr>
    </w:p>
    <w:p>
      <w:pPr>
        <w:adjustRightInd/>
        <w:spacing w:beforeLines="0" w:after="0" w:afterLines="0" w:line="240" w:lineRule="auto"/>
        <w:rPr>
          <w:bCs/>
        </w:rPr>
      </w:pPr>
    </w:p>
    <w:p>
      <w:pPr>
        <w:adjustRightInd/>
        <w:spacing w:beforeLines="0" w:after="0" w:afterLines="0" w:line="240" w:lineRule="auto"/>
        <w:jc w:val="center"/>
        <w:rPr>
          <w:rFonts w:eastAsia="宋体"/>
          <w:kern w:val="2"/>
        </w:rPr>
      </w:pPr>
    </w:p>
    <w:p>
      <w:pPr>
        <w:adjustRightInd/>
        <w:spacing w:beforeLines="0" w:after="0" w:afterLines="0" w:line="240" w:lineRule="auto"/>
        <w:jc w:val="center"/>
        <w:rPr>
          <w:rFonts w:eastAsia="宋体"/>
          <w:kern w:val="2"/>
        </w:rPr>
      </w:pPr>
    </w:p>
    <w:p>
      <w:pPr>
        <w:adjustRightInd/>
        <w:spacing w:beforeLines="0" w:after="0" w:afterLines="0" w:line="240" w:lineRule="auto"/>
        <w:jc w:val="both"/>
        <w:rPr>
          <w:rFonts w:eastAsia="宋体"/>
          <w:kern w:val="2"/>
        </w:rPr>
      </w:pPr>
    </w:p>
    <w:p>
      <w:pPr>
        <w:adjustRightInd/>
        <w:spacing w:beforeLines="0" w:after="0" w:afterLines="0" w:line="240" w:lineRule="auto"/>
        <w:jc w:val="center"/>
        <w:rPr>
          <w:rFonts w:hint="eastAsia" w:ascii="方正仿宋_GBK" w:hAnsi="方正仿宋_GBK" w:cs="方正仿宋_GBK"/>
          <w:bCs/>
        </w:rPr>
      </w:pPr>
      <w:r>
        <w:rPr>
          <w:rFonts w:hint="eastAsia" w:ascii="方正仿宋_GBK" w:hAnsi="方正仿宋_GBK" w:eastAsia="方正仿宋_GBK" w:cs="方正仿宋_GBK"/>
          <w:vanish w:val="0"/>
          <w:kern w:val="2"/>
        </w:rPr>
        <w:t>渝粮规范〔</w:t>
      </w:r>
      <w:r>
        <w:rPr>
          <w:rFonts w:hint="eastAsia" w:eastAsia="方正仿宋_GBK" w:cs="方正仿宋_GBK"/>
          <w:vanish w:val="0"/>
          <w:kern w:val="2"/>
        </w:rPr>
        <w:t>2022</w:t>
      </w:r>
      <w:r>
        <w:rPr>
          <w:rFonts w:hint="eastAsia" w:ascii="方正仿宋_GBK" w:hAnsi="方正仿宋_GBK" w:eastAsia="方正仿宋_GBK" w:cs="方正仿宋_GBK"/>
          <w:vanish w:val="0"/>
          <w:kern w:val="2"/>
        </w:rPr>
        <w:t>〕</w:t>
      </w:r>
      <w:r>
        <w:rPr>
          <w:rFonts w:hint="eastAsia" w:eastAsia="方正仿宋_GBK" w:cs="方正仿宋_GBK"/>
          <w:vanish w:val="0"/>
          <w:kern w:val="2"/>
        </w:rPr>
        <w:t>8</w:t>
      </w:r>
      <w:r>
        <w:rPr>
          <w:rFonts w:hint="eastAsia" w:ascii="方正仿宋_GBK" w:hAnsi="方正仿宋_GBK" w:eastAsia="方正仿宋_GBK" w:cs="方正仿宋_GBK"/>
          <w:vanish w:val="0"/>
          <w:kern w:val="2"/>
        </w:rPr>
        <w:t>号</w:t>
      </w:r>
    </w:p>
    <w:p>
      <w:pPr>
        <w:adjustRightInd/>
        <w:spacing w:beforeLines="0" w:after="0" w:afterLines="0" w:line="240" w:lineRule="auto"/>
        <w:jc w:val="center"/>
        <w:rPr>
          <w:bCs/>
        </w:rPr>
      </w:pPr>
    </w:p>
    <w:p>
      <w:pPr>
        <w:adjustRightInd/>
        <w:spacing w:beforeLines="0" w:after="0" w:afterLines="0" w:line="240" w:lineRule="auto"/>
        <w:jc w:val="center"/>
        <w:rPr>
          <w:bCs/>
        </w:rPr>
      </w:pPr>
    </w:p>
    <w:tbl>
      <w:tblPr>
        <w:tblStyle w:val="7"/>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6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36" w:hRule="atLeast"/>
          <w:jc w:val="center"/>
        </w:trPr>
        <w:tc>
          <w:tcPr>
            <w:tcW w:w="4688" w:type="dxa"/>
            <w:tcBorders>
              <w:top w:val="nil"/>
              <w:left w:val="nil"/>
              <w:right w:val="nil"/>
            </w:tcBorders>
            <w:noWrap w:val="0"/>
            <w:vAlign w:val="top"/>
          </w:tcPr>
          <w:p>
            <w:pPr>
              <w:adjustRightInd/>
              <w:spacing w:beforeLines="0" w:after="0" w:afterLines="0" w:line="580" w:lineRule="exact"/>
              <w:jc w:val="distribute"/>
              <w:textAlignment w:val="auto"/>
              <w:rPr>
                <w:rFonts w:hint="default" w:eastAsia="方正小标宋_GBK"/>
                <w:kern w:val="2"/>
                <w:sz w:val="44"/>
                <w:szCs w:val="44"/>
              </w:rPr>
            </w:pPr>
            <w:bookmarkStart w:id="0" w:name="正文"/>
            <w:bookmarkEnd w:id="0"/>
            <w:bookmarkStart w:id="1" w:name="bt"/>
            <w:bookmarkEnd w:id="1"/>
            <w:r>
              <w:rPr>
                <w:rFonts w:hint="default" w:eastAsia="方正小标宋_GBK"/>
                <w:kern w:val="2"/>
                <w:sz w:val="44"/>
                <w:szCs w:val="44"/>
              </w:rPr>
              <w:t>重庆市粮食局</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51" w:hRule="atLeast"/>
          <w:jc w:val="center"/>
        </w:trPr>
        <w:tc>
          <w:tcPr>
            <w:tcW w:w="4688" w:type="dxa"/>
            <w:tcBorders>
              <w:left w:val="nil"/>
              <w:bottom w:val="nil"/>
              <w:right w:val="nil"/>
            </w:tcBorders>
            <w:noWrap w:val="0"/>
            <w:vAlign w:val="top"/>
          </w:tcPr>
          <w:p>
            <w:pPr>
              <w:adjustRightInd/>
              <w:spacing w:beforeLines="0" w:after="0" w:afterLines="0" w:line="580" w:lineRule="exact"/>
              <w:jc w:val="distribute"/>
              <w:textAlignment w:val="auto"/>
              <w:rPr>
                <w:rFonts w:hint="default" w:eastAsia="方正小标宋_GBK"/>
                <w:kern w:val="2"/>
                <w:sz w:val="44"/>
                <w:szCs w:val="44"/>
              </w:rPr>
            </w:pPr>
            <w:r>
              <w:rPr>
                <w:rFonts w:hint="default" w:eastAsia="方正小标宋_GBK"/>
                <w:kern w:val="2"/>
                <w:sz w:val="44"/>
                <w:szCs w:val="44"/>
              </w:rPr>
              <w:t>重庆市财政局</w:t>
            </w:r>
          </w:p>
        </w:tc>
      </w:tr>
    </w:tbl>
    <w:p>
      <w:pPr>
        <w:adjustRightInd/>
        <w:spacing w:beforeLines="0" w:after="0" w:afterLines="0" w:line="580" w:lineRule="exact"/>
        <w:jc w:val="center"/>
        <w:textAlignment w:val="auto"/>
        <w:outlineLvl w:val="0"/>
        <w:rPr>
          <w:rFonts w:eastAsia="方正小标宋_GBK"/>
          <w:kern w:val="2"/>
          <w:sz w:val="44"/>
          <w:szCs w:val="44"/>
        </w:rPr>
      </w:pPr>
      <w:r>
        <w:rPr>
          <w:rFonts w:eastAsia="方正小标宋_GBK"/>
          <w:kern w:val="2"/>
          <w:sz w:val="44"/>
          <w:szCs w:val="44"/>
        </w:rPr>
        <w:t>关于印发《重庆市优质粮食工程项目</w:t>
      </w:r>
    </w:p>
    <w:p>
      <w:pPr>
        <w:adjustRightInd/>
        <w:spacing w:beforeLines="0" w:after="0" w:afterLines="0" w:line="580" w:lineRule="exact"/>
        <w:jc w:val="center"/>
        <w:textAlignment w:val="auto"/>
        <w:outlineLvl w:val="0"/>
        <w:rPr>
          <w:rFonts w:eastAsia="方正小标宋_GBK"/>
          <w:kern w:val="2"/>
          <w:sz w:val="44"/>
          <w:szCs w:val="44"/>
        </w:rPr>
      </w:pPr>
      <w:r>
        <w:rPr>
          <w:rFonts w:eastAsia="方正小标宋_GBK"/>
          <w:kern w:val="2"/>
          <w:sz w:val="44"/>
          <w:szCs w:val="44"/>
        </w:rPr>
        <w:t>及资金管理办法》的通知</w:t>
      </w:r>
    </w:p>
    <w:p>
      <w:pPr>
        <w:adjustRightInd/>
        <w:spacing w:beforeLines="0" w:after="0" w:afterLines="0" w:line="240" w:lineRule="auto"/>
        <w:jc w:val="center"/>
        <w:textAlignment w:val="auto"/>
        <w:rPr>
          <w:rFonts w:eastAsia="方正小标宋_GBK"/>
          <w:kern w:val="2"/>
          <w:sz w:val="44"/>
          <w:szCs w:val="44"/>
        </w:rPr>
      </w:pPr>
    </w:p>
    <w:p>
      <w:pPr>
        <w:adjustRightInd/>
        <w:spacing w:beforeLines="0" w:after="0" w:afterLines="0" w:line="240" w:lineRule="auto"/>
        <w:textAlignment w:val="auto"/>
        <w:rPr>
          <w:kern w:val="2"/>
        </w:rPr>
      </w:pPr>
      <w:r>
        <w:rPr>
          <w:kern w:val="2"/>
        </w:rPr>
        <w:t>各区县（自治县）发展改革委、财政局，两江新区经济运行局、财政局，重庆高新区改革发展局、财政局，万盛经开区发展改革局、财政局，有关单位：</w:t>
      </w:r>
    </w:p>
    <w:p>
      <w:pPr>
        <w:adjustRightInd/>
        <w:spacing w:beforeLines="0" w:after="0" w:afterLines="0" w:line="240" w:lineRule="auto"/>
        <w:ind w:firstLine="632" w:firstLineChars="200"/>
        <w:textAlignment w:val="auto"/>
        <w:rPr>
          <w:kern w:val="2"/>
        </w:rPr>
      </w:pPr>
      <w:r>
        <w:rPr>
          <w:kern w:val="2"/>
        </w:rPr>
        <w:t>按照国家粮食和物资储备局、财政部优质粮食工程项目实施工作安排，根据《财政部 国家粮食和物资储备局关于深入推进优质粮食工程的意见》（财建〔2021〕177号）和《国家粮食和物资储备局关于印发优质粮食工程</w:t>
      </w:r>
      <w:r>
        <w:rPr>
          <w:rFonts w:hint="eastAsia"/>
          <w:kern w:val="2"/>
        </w:rPr>
        <w:t>“</w:t>
      </w:r>
      <w:r>
        <w:rPr>
          <w:kern w:val="2"/>
        </w:rPr>
        <w:t>六大提升行动</w:t>
      </w:r>
      <w:r>
        <w:rPr>
          <w:rFonts w:hint="eastAsia"/>
          <w:kern w:val="2"/>
        </w:rPr>
        <w:t>”</w:t>
      </w:r>
      <w:r>
        <w:rPr>
          <w:kern w:val="2"/>
        </w:rPr>
        <w:t>方案的通知》（国粮规〔2021〕236号）有关规定，结合我市实际，制定《重庆市优质粮食工程项目及资金管理办法》</w:t>
      </w:r>
      <w:r>
        <w:rPr>
          <w:rFonts w:hint="eastAsia"/>
          <w:kern w:val="2"/>
        </w:rPr>
        <w:t>，经市发展改革委第68次委主任办公会审议通过，</w:t>
      </w:r>
      <w:r>
        <w:rPr>
          <w:kern w:val="2"/>
        </w:rPr>
        <w:t>现印发给你们，请遵照执行。</w:t>
      </w:r>
    </w:p>
    <w:p>
      <w:pPr>
        <w:adjustRightInd/>
        <w:spacing w:beforeLines="0" w:after="0" w:afterLines="0" w:line="240" w:lineRule="auto"/>
        <w:ind w:firstLine="632" w:firstLineChars="200"/>
        <w:textAlignment w:val="auto"/>
        <w:rPr>
          <w:kern w:val="2"/>
        </w:rPr>
      </w:pPr>
    </w:p>
    <w:p>
      <w:pPr>
        <w:adjustRightInd/>
        <w:spacing w:beforeLines="0" w:after="0" w:afterLines="0" w:line="240" w:lineRule="auto"/>
        <w:ind w:firstLine="632" w:firstLineChars="200"/>
        <w:textAlignment w:val="auto"/>
        <w:rPr>
          <w:kern w:val="2"/>
        </w:rPr>
      </w:pPr>
    </w:p>
    <w:p>
      <w:pPr>
        <w:adjustRightInd/>
        <w:spacing w:beforeLines="0" w:after="0" w:afterLines="0" w:line="240" w:lineRule="auto"/>
        <w:ind w:firstLine="632" w:firstLineChars="200"/>
        <w:textAlignment w:val="auto"/>
        <w:rPr>
          <w:kern w:val="2"/>
        </w:rPr>
      </w:pPr>
    </w:p>
    <w:p>
      <w:pPr>
        <w:adjustRightInd/>
        <w:spacing w:beforeLines="0" w:after="0" w:afterLines="0" w:line="240" w:lineRule="auto"/>
        <w:ind w:firstLine="632" w:firstLineChars="200"/>
        <w:jc w:val="both"/>
        <w:textAlignment w:val="auto"/>
        <w:rPr>
          <w:kern w:val="2"/>
        </w:rPr>
      </w:pPr>
      <w:r>
        <w:rPr>
          <w:kern w:val="2"/>
        </w:rPr>
        <w:t xml:space="preserve">重庆市粮食局                     重庆市财政局     </w:t>
      </w:r>
    </w:p>
    <w:p>
      <w:pPr>
        <w:adjustRightInd/>
        <w:spacing w:beforeLines="0" w:after="0" w:afterLines="0" w:line="240" w:lineRule="auto"/>
        <w:ind w:firstLine="632" w:firstLineChars="200"/>
        <w:jc w:val="both"/>
        <w:textAlignment w:val="auto"/>
        <w:outlineLvl w:val="1"/>
        <w:rPr>
          <w:kern w:val="2"/>
        </w:rPr>
      </w:pPr>
      <w:r>
        <w:rPr>
          <w:kern w:val="2"/>
        </w:rPr>
        <w:t xml:space="preserve">                                2022年</w:t>
      </w:r>
      <w:r>
        <w:rPr>
          <w:rFonts w:hint="eastAsia"/>
          <w:kern w:val="2"/>
        </w:rPr>
        <w:t>11</w:t>
      </w:r>
      <w:r>
        <w:rPr>
          <w:kern w:val="2"/>
        </w:rPr>
        <w:t>月</w:t>
      </w:r>
      <w:r>
        <w:rPr>
          <w:rFonts w:hint="eastAsia"/>
          <w:kern w:val="2"/>
          <w:lang w:val="en-US" w:eastAsia="zh-CN"/>
        </w:rPr>
        <w:t>24</w:t>
      </w:r>
      <w:r>
        <w:rPr>
          <w:kern w:val="2"/>
        </w:rPr>
        <w:t xml:space="preserve">日    </w:t>
      </w:r>
    </w:p>
    <w:p>
      <w:pPr>
        <w:overflowPunct w:val="0"/>
        <w:adjustRightInd/>
        <w:spacing w:beforeLines="0" w:after="0" w:afterLines="0" w:line="240" w:lineRule="auto"/>
        <w:ind w:firstLine="872" w:firstLineChars="200"/>
        <w:jc w:val="both"/>
        <w:textAlignment w:val="auto"/>
        <w:rPr>
          <w:rFonts w:eastAsia="方正小标宋_GBK"/>
          <w:kern w:val="2"/>
          <w:sz w:val="44"/>
          <w:szCs w:val="44"/>
        </w:rPr>
      </w:pPr>
    </w:p>
    <w:p>
      <w:pPr>
        <w:overflowPunct/>
        <w:adjustRightInd/>
        <w:spacing w:before="0" w:beforeLines="0" w:after="0" w:afterLines="0" w:line="240" w:lineRule="auto"/>
        <w:ind w:firstLine="872" w:firstLineChars="200"/>
        <w:jc w:val="both"/>
        <w:textAlignment w:val="auto"/>
        <w:rPr>
          <w:rFonts w:eastAsia="方正小标宋_GBK"/>
          <w:kern w:val="2"/>
          <w:sz w:val="44"/>
          <w:szCs w:val="44"/>
        </w:rPr>
      </w:pPr>
      <w:r>
        <w:rPr>
          <w:rFonts w:eastAsia="方正小标宋_GBK"/>
          <w:kern w:val="2"/>
          <w:sz w:val="44"/>
          <w:szCs w:val="44"/>
        </w:rPr>
        <w:br w:type="page"/>
      </w:r>
    </w:p>
    <w:p>
      <w:pPr>
        <w:overflowPunct/>
        <w:adjustRightInd/>
        <w:spacing w:beforeLines="0" w:after="0" w:afterLines="0" w:line="240" w:lineRule="auto"/>
        <w:jc w:val="left"/>
        <w:textAlignment w:val="auto"/>
        <w:rPr>
          <w:rFonts w:eastAsia="方正仿宋_GBK"/>
          <w:kern w:val="0"/>
          <w:sz w:val="32"/>
          <w:szCs w:val="32"/>
        </w:rPr>
      </w:pPr>
    </w:p>
    <w:p>
      <w:pPr>
        <w:overflowPunct w:val="0"/>
        <w:adjustRightInd/>
        <w:spacing w:beforeLines="0" w:after="0" w:afterLines="0" w:line="580" w:lineRule="exact"/>
        <w:jc w:val="center"/>
        <w:textAlignment w:val="auto"/>
        <w:outlineLvl w:val="0"/>
        <w:rPr>
          <w:rFonts w:eastAsia="方正小标宋_GBK"/>
          <w:kern w:val="2"/>
          <w:sz w:val="44"/>
          <w:szCs w:val="44"/>
        </w:rPr>
      </w:pPr>
      <w:r>
        <w:rPr>
          <w:rFonts w:eastAsia="方正小标宋_GBK"/>
          <w:kern w:val="2"/>
          <w:sz w:val="44"/>
          <w:szCs w:val="44"/>
        </w:rPr>
        <w:t>重庆市优质粮食工程项目及资金管理办法</w:t>
      </w:r>
    </w:p>
    <w:p>
      <w:pPr>
        <w:adjustRightInd/>
        <w:spacing w:beforeLines="0" w:after="0" w:afterLines="0" w:line="240" w:lineRule="auto"/>
        <w:textAlignment w:val="auto"/>
        <w:rPr>
          <w:rFonts w:eastAsia="仿宋_GB2312"/>
          <w:kern w:val="2"/>
          <w:szCs w:val="20"/>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eastAsia="方正黑体_GBK"/>
          <w:kern w:val="2"/>
        </w:rPr>
      </w:pPr>
      <w:r>
        <w:rPr>
          <w:rFonts w:eastAsia="方正黑体_GBK"/>
          <w:kern w:val="2"/>
        </w:rPr>
        <w:t xml:space="preserve"> 总  则</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制定依据</w:t>
      </w:r>
      <w:r>
        <w:rPr>
          <w:rFonts w:hint="eastAsia" w:ascii="方正仿宋_GBK" w:hAnsi="方正仿宋_GBK" w:cs="方正仿宋_GBK"/>
          <w:kern w:val="2"/>
        </w:rPr>
        <w:t xml:space="preserve"> 为加强重庆市深入推进优质粮食工程项目及资金管理，确保项目质量和成效，提高资金使用绩效，根据《财政部 国家粮食和物资储备局关于深入推进优质粮食工程的意见》（财建〔</w:t>
      </w:r>
      <w:r>
        <w:rPr>
          <w:rFonts w:hint="eastAsia" w:cs="方正仿宋_GBK"/>
          <w:kern w:val="2"/>
        </w:rPr>
        <w:t>2021</w:t>
      </w:r>
      <w:r>
        <w:rPr>
          <w:rFonts w:hint="eastAsia" w:ascii="方正仿宋_GBK" w:hAnsi="方正仿宋_GBK" w:cs="方正仿宋_GBK"/>
          <w:kern w:val="2"/>
        </w:rPr>
        <w:t>〕</w:t>
      </w:r>
      <w:r>
        <w:rPr>
          <w:rFonts w:hint="eastAsia" w:cs="方正仿宋_GBK"/>
          <w:kern w:val="2"/>
        </w:rPr>
        <w:t>177</w:t>
      </w:r>
      <w:r>
        <w:rPr>
          <w:rFonts w:hint="eastAsia" w:ascii="方正仿宋_GBK" w:hAnsi="方正仿宋_GBK" w:cs="方正仿宋_GBK"/>
          <w:kern w:val="2"/>
        </w:rPr>
        <w:t>号）、《国家粮食和物资储备局关于印发优质粮食工程“六大提升行动”方案的通知》（国粮规〔</w:t>
      </w:r>
      <w:r>
        <w:rPr>
          <w:rFonts w:hint="eastAsia" w:cs="方正仿宋_GBK"/>
          <w:kern w:val="2"/>
        </w:rPr>
        <w:t>2021</w:t>
      </w:r>
      <w:r>
        <w:rPr>
          <w:rFonts w:hint="eastAsia" w:ascii="方正仿宋_GBK" w:hAnsi="方正仿宋_GBK" w:cs="方正仿宋_GBK"/>
          <w:kern w:val="2"/>
        </w:rPr>
        <w:t>〕</w:t>
      </w:r>
      <w:r>
        <w:rPr>
          <w:rFonts w:hint="eastAsia" w:cs="方正仿宋_GBK"/>
          <w:kern w:val="2"/>
        </w:rPr>
        <w:t>236</w:t>
      </w:r>
      <w:r>
        <w:rPr>
          <w:rFonts w:hint="eastAsia" w:ascii="方正仿宋_GBK" w:hAnsi="方正仿宋_GBK" w:cs="方正仿宋_GBK"/>
          <w:kern w:val="2"/>
        </w:rPr>
        <w:t>号）等有关文件规定，特制定本办法。</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适用范围</w:t>
      </w:r>
      <w:r>
        <w:rPr>
          <w:rFonts w:hint="eastAsia" w:ascii="方正仿宋_GBK" w:hAnsi="方正仿宋_GBK" w:cs="方正仿宋_GBK"/>
          <w:kern w:val="2"/>
        </w:rPr>
        <w:t xml:space="preserve"> 本办法适用于重庆市范围内的粮食绿色仓储、粮食品种品质品牌、粮食质量追溯、粮食机械装备、粮食应急保障能力以及粮食节约减损健康消费提升行动六大方面。不得用于土地拆迁、新建</w:t>
      </w:r>
      <w:r>
        <w:rPr>
          <w:rFonts w:hint="eastAsia" w:ascii="方正仿宋_GBK" w:hAnsi="方正仿宋_GBK" w:cs="方正仿宋_GBK"/>
          <w:kern w:val="2"/>
        </w:rPr>
        <w:t>或改扩建</w:t>
      </w:r>
      <w:r>
        <w:rPr>
          <w:rFonts w:hint="eastAsia" w:ascii="方正仿宋_GBK" w:hAnsi="方正仿宋_GBK" w:cs="方正仿宋_GBK"/>
          <w:kern w:val="2"/>
        </w:rPr>
        <w:t>饲料加工厂房、检测中心楼房、物流运输车辆、休闲旅游观光农业、特色休闲小镇、接待中心、专家楼、办公生活设施、综合服务区等与实施项目无关内容。</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总体目标</w:t>
      </w:r>
      <w:r>
        <w:rPr>
          <w:rFonts w:hint="eastAsia" w:ascii="方正仿宋_GBK" w:hAnsi="方正仿宋_GBK" w:cs="方正仿宋_GBK"/>
          <w:kern w:val="2"/>
        </w:rPr>
        <w:t xml:space="preserve"> 重庆市深入推进优质粮食工程项目建设以增强我市优质粮油供给能力，提高粮食产业质量效益和竞争力，更好满足人民群众粮油消费升级需要为目标。</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方针原则</w:t>
      </w:r>
      <w:r>
        <w:rPr>
          <w:rFonts w:hint="eastAsia" w:ascii="方正仿宋_GBK" w:hAnsi="方正仿宋_GBK" w:cs="方正仿宋_GBK"/>
          <w:kern w:val="2"/>
        </w:rPr>
        <w:t xml:space="preserve"> 通过实施优质粮食工程，充分运用</w:t>
      </w:r>
      <w:r>
        <w:rPr>
          <w:rFonts w:hint="eastAsia" w:cs="方正仿宋_GBK"/>
          <w:kern w:val="2"/>
        </w:rPr>
        <w:t>2017</w:t>
      </w:r>
      <w:r>
        <w:rPr>
          <w:rFonts w:hint="eastAsia" w:ascii="方正仿宋_GBK" w:hAnsi="方正仿宋_GBK" w:cs="方正仿宋_GBK"/>
          <w:kern w:val="2"/>
        </w:rPr>
        <w:t>年以来实施优质粮食工程既有成效，大力推进“三链协同”，深入实施“五优联动”，做实“六大提升行动”，打造“十四五”时期优质粮食工程升级版，加快粮食产业高质量发展。</w:t>
      </w:r>
    </w:p>
    <w:p>
      <w:pPr>
        <w:overflowPunct w:val="0"/>
        <w:adjustRightInd/>
        <w:spacing w:beforeLines="0" w:after="0" w:afterLines="0" w:line="240" w:lineRule="auto"/>
        <w:ind w:left="0" w:firstLine="632" w:firstLineChars="20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仿宋_GBK" w:hAnsi="方正仿宋_GBK" w:eastAsia="方正仿宋_GBK" w:cs="方正仿宋_GBK"/>
          <w:kern w:val="2"/>
        </w:rPr>
        <w:t xml:space="preserve"> </w:t>
      </w:r>
      <w:r>
        <w:rPr>
          <w:rFonts w:hint="eastAsia" w:ascii="方正黑体_GBK" w:hAnsi="方正黑体_GBK" w:eastAsia="方正黑体_GBK" w:cs="方正黑体_GBK"/>
          <w:kern w:val="2"/>
        </w:rPr>
        <w:t>组织领导</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组织实施</w:t>
      </w:r>
      <w:r>
        <w:rPr>
          <w:rFonts w:hint="eastAsia" w:ascii="方正仿宋_GBK" w:hAnsi="方正仿宋_GBK" w:cs="方正仿宋_GBK"/>
          <w:kern w:val="2"/>
        </w:rPr>
        <w:t xml:space="preserve"> 优质粮食工程项目的规划设计应符合全市和区县（自治县）实际，按照实事求是的原则进行统筹安排。市粮食局、市财政局负责全市优质粮食工程项目、资金的统筹指导。区县（自治县）粮食行政管理部门负责本辖区优质粮食工程项目统筹指导和组织实施，建立优质粮食工程实施协调机制。项目实施企业（单位）建立组织领导机构。</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 xml:space="preserve">责任落实 </w:t>
      </w:r>
      <w:r>
        <w:rPr>
          <w:rFonts w:hint="eastAsia" w:ascii="方正仿宋_GBK" w:hAnsi="方正仿宋_GBK" w:cs="方正仿宋_GBK"/>
          <w:kern w:val="2"/>
        </w:rPr>
        <w:t>市粮食局负责组织全市优质粮食工程项目管理，提出优质粮食工程专项资金（以下简称专项资金）分配建议，开展全过程绩效管理。市财政局负责专项资金预算管理，组织专项资金预算编制和执行。区县（自治县）粮食行政管理部门会同财政部门牵头抓好项目规划、组织实施、监督检查及绩效评价等工作，确保项目实施按期推进。区县（自治县）财政部门负责专项资金预算管理、拨付下达和财政监督检查管理等工作。</w:t>
      </w:r>
    </w:p>
    <w:p>
      <w:pPr>
        <w:overflowPunct w:val="0"/>
        <w:adjustRightInd/>
        <w:spacing w:beforeLines="0" w:after="0" w:afterLines="0" w:line="240" w:lineRule="auto"/>
        <w:ind w:firstLine="632" w:firstLineChars="20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项目规划</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 xml:space="preserve">总体方案 </w:t>
      </w:r>
      <w:r>
        <w:rPr>
          <w:rFonts w:hint="eastAsia" w:ascii="方正仿宋_GBK" w:hAnsi="方正仿宋_GBK" w:cs="方正仿宋_GBK"/>
          <w:kern w:val="2"/>
        </w:rPr>
        <w:t>市粮食局根据国家优质粮食工程有关文件要求，结合重庆市实际，牵头编制完善《重庆市深入推进优质粮食工程实施方案》。区县（自治县）粮食行政管理部门按照国家要求和市级部署，结合实际，编制本区县（自治县）建设方案。</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项目策划</w:t>
      </w:r>
      <w:r>
        <w:rPr>
          <w:rFonts w:hint="eastAsia" w:ascii="方正仿宋_GBK" w:hAnsi="方正仿宋_GBK" w:cs="方正仿宋_GBK"/>
          <w:kern w:val="2"/>
        </w:rPr>
        <w:t xml:space="preserve"> 优质粮食工程项目原则上采取先建后补的方式申报，申报时实际完成投资未超过项目总投资的</w:t>
      </w:r>
      <w:r>
        <w:rPr>
          <w:rFonts w:hint="eastAsia" w:cs="方正仿宋_GBK"/>
          <w:kern w:val="2"/>
        </w:rPr>
        <w:t>70%</w:t>
      </w:r>
      <w:r>
        <w:rPr>
          <w:rFonts w:hint="eastAsia" w:ascii="方正仿宋_GBK" w:hAnsi="方正仿宋_GBK" w:cs="方正仿宋_GBK"/>
          <w:kern w:val="2"/>
        </w:rPr>
        <w:t xml:space="preserve">。区县（自治县）粮食行政管理部门按照有关文件要求，组织辖区内企业（单位）进行项目策划。企业（单位）应按中央和市级优质粮食工程实施要求，结合自身优势，认真开展项目策划，编制项目实施方案，根据项目类型完善相关手续，明确项目相关情况。  </w:t>
      </w:r>
    </w:p>
    <w:p>
      <w:pPr>
        <w:overflowPunct w:val="0"/>
        <w:adjustRightInd/>
        <w:spacing w:beforeLines="0" w:after="0" w:afterLines="0" w:line="240" w:lineRule="auto"/>
        <w:ind w:firstLine="632" w:firstLineChars="200"/>
        <w:textAlignment w:val="auto"/>
        <w:rPr>
          <w:rFonts w:hint="eastAsia" w:ascii="方正仿宋_GBK" w:hAnsi="方正仿宋_GBK" w:eastAsia="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项目申报</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项目申报</w:t>
      </w:r>
      <w:r>
        <w:rPr>
          <w:rFonts w:hint="eastAsia" w:ascii="方正仿宋_GBK" w:hAnsi="方正仿宋_GBK" w:cs="方正仿宋_GBK"/>
          <w:kern w:val="2"/>
        </w:rPr>
        <w:t xml:space="preserve"> 企业（单位）按要求编制申报材料，对申报材料的完整性、真实性负责，报所在区县（自治县）粮食行政管理部门审核。区县（自治县）粮食行政管理部门要切实加强项目前期审核工作，科学选项立项，特别是要重点加强对项目申报单位自筹资金能力的审查，并汇总辖区内项目报市粮食局。</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spacing w:val="-6"/>
          <w:kern w:val="2"/>
        </w:rPr>
      </w:pPr>
      <w:r>
        <w:rPr>
          <w:rFonts w:hint="eastAsia" w:ascii="方正仿宋_GBK" w:hAnsi="方正仿宋_GBK" w:eastAsia="方正仿宋_GBK" w:cs="方正仿宋_GBK"/>
          <w:kern w:val="2"/>
        </w:rPr>
        <w:t xml:space="preserve"> </w:t>
      </w:r>
      <w:r>
        <w:rPr>
          <w:rFonts w:hint="eastAsia" w:ascii="方正仿宋_GBK" w:hAnsi="方正仿宋_GBK" w:eastAsia="方正仿宋_GBK" w:cs="方正仿宋_GBK"/>
          <w:spacing w:val="-6"/>
          <w:kern w:val="2"/>
        </w:rPr>
        <w:t>项目评审</w:t>
      </w:r>
      <w:r>
        <w:rPr>
          <w:rFonts w:hint="eastAsia" w:ascii="方正仿宋_GBK" w:hAnsi="方正仿宋_GBK" w:cs="方正仿宋_GBK"/>
          <w:spacing w:val="-6"/>
          <w:kern w:val="2"/>
        </w:rPr>
        <w:t xml:space="preserve"> 市粮食局会同市财政局组织优质粮食工程项目评审组，对各区县（自治县）上报的总体建设方案及项目申报材料进行评审。采取年度申报、竞争择优的方式确定实施项目。</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计划下达</w:t>
      </w:r>
      <w:r>
        <w:rPr>
          <w:rFonts w:hint="eastAsia" w:ascii="方正仿宋_GBK" w:hAnsi="方正仿宋_GBK" w:cs="方正仿宋_GBK"/>
          <w:kern w:val="2"/>
        </w:rPr>
        <w:t xml:space="preserve"> 市粮食局结合评审组意见下达项目计划，一经下发，原则上不得更改。</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方案备案</w:t>
      </w:r>
      <w:r>
        <w:rPr>
          <w:rFonts w:hint="eastAsia" w:ascii="方正仿宋_GBK" w:hAnsi="方正仿宋_GBK" w:cs="方正仿宋_GBK"/>
          <w:kern w:val="2"/>
        </w:rPr>
        <w:t xml:space="preserve"> 区县（自治县）粮食行政管理部门将项目实施方案按</w:t>
      </w:r>
      <w:r>
        <w:rPr>
          <w:rFonts w:hint="eastAsia" w:ascii="方正仿宋_GBK" w:hAnsi="方正仿宋_GBK" w:cs="方正仿宋_GBK"/>
          <w:kern w:val="2"/>
        </w:rPr>
        <w:t>程序</w:t>
      </w:r>
      <w:r>
        <w:rPr>
          <w:rFonts w:hint="eastAsia" w:ascii="方正仿宋_GBK" w:hAnsi="方正仿宋_GBK" w:cs="方正仿宋_GBK"/>
          <w:kern w:val="2"/>
        </w:rPr>
        <w:t>向市粮食局进行备案。</w:t>
      </w:r>
    </w:p>
    <w:p>
      <w:pPr>
        <w:numPr>
          <w:ilvl w:val="-1"/>
          <w:numId w:val="0"/>
        </w:numPr>
        <w:tabs>
          <w:tab w:val="left" w:pos="0"/>
        </w:tabs>
        <w:overflowPunct w:val="0"/>
        <w:adjustRightInd/>
        <w:spacing w:beforeLines="0" w:after="0" w:afterLines="0" w:line="240" w:lineRule="auto"/>
        <w:ind w:left="632" w:leftChars="200" w:firstLine="0" w:firstLineChars="0"/>
        <w:textAlignment w:val="auto"/>
        <w:rPr>
          <w:rFonts w:hint="eastAsia" w:ascii="方正仿宋_GBK" w:hAnsi="方正仿宋_GBK" w:cs="方正仿宋_GBK"/>
          <w:kern w:val="2"/>
        </w:rPr>
      </w:pPr>
    </w:p>
    <w:p>
      <w:pPr>
        <w:numPr>
          <w:ilvl w:val="0"/>
          <w:numId w:val="0"/>
        </w:numPr>
        <w:overflowPunct w:val="0"/>
        <w:adjustRightInd/>
        <w:spacing w:beforeLines="0" w:after="0" w:afterLines="0" w:line="240" w:lineRule="auto"/>
        <w:ind w:left="0" w:firstLine="632" w:firstLineChars="200"/>
        <w:textAlignment w:val="auto"/>
        <w:rPr>
          <w:rFonts w:hint="eastAsia" w:ascii="方正仿宋_GBK" w:hAnsi="方正仿宋_GBK" w:cs="方正仿宋_GBK"/>
          <w:kern w:val="2"/>
          <w:highlight w:val="green"/>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项目实施</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项目建设 </w:t>
      </w:r>
      <w:r>
        <w:rPr>
          <w:rFonts w:hint="eastAsia" w:ascii="方正仿宋_GBK" w:hAnsi="方正仿宋_GBK" w:cs="方正仿宋_GBK"/>
          <w:kern w:val="2"/>
        </w:rPr>
        <w:t>实施企业（单位）应按项目类型依法办理建设相关手续，按照相关法律法规开展建设工作。严格按项目备案实施方案、国家和市级优质粮食工程有关文件要求实施，并</w:t>
      </w:r>
      <w:r>
        <w:rPr>
          <w:rFonts w:hint="eastAsia" w:ascii="方正仿宋_GBK" w:hAnsi="方正仿宋_GBK" w:cs="方正仿宋_GBK"/>
          <w:spacing w:val="2"/>
          <w:kern w:val="2"/>
        </w:rPr>
        <w:t>对项目质量、资金安全等承担终身责任</w:t>
      </w:r>
      <w:r>
        <w:rPr>
          <w:rFonts w:hint="eastAsia" w:ascii="方正仿宋_GBK" w:hAnsi="方正仿宋_GBK" w:cs="方正仿宋_GBK"/>
          <w:kern w:val="2"/>
        </w:rPr>
        <w:t>。实施企业（单位）足额落实项目资金，加强项目和资金管理，确保项目按期完工，项目建设期不得超过</w:t>
      </w:r>
      <w:r>
        <w:rPr>
          <w:rFonts w:hint="eastAsia" w:cs="方正仿宋_GBK"/>
          <w:kern w:val="2"/>
        </w:rPr>
        <w:t>2</w:t>
      </w:r>
      <w:r>
        <w:rPr>
          <w:rFonts w:hint="eastAsia" w:ascii="方正仿宋_GBK" w:hAnsi="方正仿宋_GBK" w:cs="方正仿宋_GBK"/>
          <w:kern w:val="2"/>
        </w:rPr>
        <w:t>年。</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项目调度</w:t>
      </w:r>
      <w:r>
        <w:rPr>
          <w:rFonts w:hint="eastAsia" w:ascii="方正仿宋_GBK" w:hAnsi="方正仿宋_GBK" w:cs="方正仿宋_GBK"/>
          <w:kern w:val="2"/>
        </w:rPr>
        <w:t xml:space="preserve"> 市粮食局不定期开展优质粮食工程项目调度，区县（自治县）粮食行政管理部门负责跟踪项目实施情况，实施企业（单位）按要求如实报送项目实施进度。</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项目变更</w:t>
      </w:r>
      <w:r>
        <w:rPr>
          <w:rFonts w:hint="eastAsia" w:ascii="方正仿宋_GBK" w:hAnsi="方正仿宋_GBK" w:cs="方正仿宋_GBK"/>
          <w:kern w:val="2"/>
        </w:rPr>
        <w:t xml:space="preserve"> 项目确需进行变更的，由实施企业（单位）提出，报区县（自治县）粮食行政管理部门进行</w:t>
      </w:r>
      <w:r>
        <w:rPr>
          <w:rFonts w:hint="eastAsia" w:ascii="方正仿宋_GBK" w:hAnsi="方正仿宋_GBK" w:cs="方正仿宋_GBK"/>
          <w:kern w:val="2"/>
        </w:rPr>
        <w:t>审核或</w:t>
      </w:r>
      <w:r>
        <w:rPr>
          <w:rFonts w:hint="eastAsia" w:ascii="方正仿宋_GBK" w:hAnsi="方正仿宋_GBK" w:cs="方正仿宋_GBK"/>
          <w:kern w:val="2"/>
        </w:rPr>
        <w:t>审批。项目建设地点、实施主体、投资规模及主要建设内容等重大变更需由区县（自治县）粮食行政管理部门审核后报市粮食局审批。项目实施企业（单位）未经市粮食局批复随意进行重大项目变更的，视为违规使用专项资金。</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项目档案</w:t>
      </w:r>
      <w:r>
        <w:rPr>
          <w:rFonts w:hint="eastAsia" w:ascii="方正仿宋_GBK" w:hAnsi="方正仿宋_GBK" w:cs="方正仿宋_GBK"/>
          <w:kern w:val="2"/>
        </w:rPr>
        <w:t xml:space="preserve"> 实施企业（单位）根据项目类型及时完善、收集项目全过程资料，形成完整、规范的档案，以备检查和验收。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项目撤销 </w:t>
      </w:r>
      <w:r>
        <w:rPr>
          <w:rFonts w:hint="eastAsia" w:ascii="方正仿宋_GBK" w:hAnsi="方正仿宋_GBK" w:cs="方正仿宋_GBK"/>
          <w:kern w:val="2"/>
        </w:rPr>
        <w:t>项目受不可抗力因素影响无法继续实施，实施企业（单位）应及时提出书面申请，逐级报批，经市粮食局批复同意后终止实施。</w:t>
      </w:r>
    </w:p>
    <w:p>
      <w:pPr>
        <w:numPr>
          <w:ilvl w:val="-1"/>
          <w:numId w:val="0"/>
        </w:numPr>
        <w:tabs>
          <w:tab w:val="left" w:pos="0"/>
        </w:tabs>
        <w:overflowPunct w:val="0"/>
        <w:adjustRightInd/>
        <w:spacing w:beforeLines="0" w:after="0" w:afterLines="0" w:line="240" w:lineRule="auto"/>
        <w:ind w:left="632" w:leftChars="200" w:firstLine="0" w:firstLineChars="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项目验收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验收依据</w:t>
      </w:r>
      <w:r>
        <w:rPr>
          <w:rFonts w:hint="eastAsia" w:ascii="方正仿宋_GBK" w:hAnsi="方正仿宋_GBK" w:cs="方正仿宋_GBK"/>
          <w:kern w:val="2"/>
        </w:rPr>
        <w:t xml:space="preserve"> 包括但不限于市级优质粮食工程申报通知、项目申报文件、市级下达的项目及资金计划、第三方审计报告等相关文件（原件或复印件）。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验收评价 </w:t>
      </w:r>
      <w:r>
        <w:rPr>
          <w:rFonts w:hint="eastAsia" w:ascii="方正仿宋_GBK" w:hAnsi="方正仿宋_GBK" w:cs="方正仿宋_GBK"/>
          <w:kern w:val="2"/>
        </w:rPr>
        <w:t>主要采取“企业（单位）申请+区县（自治县）验收+市级抽查”相结合的方式进行绩效评价及验收。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企业（单位）申请</w:t>
      </w:r>
      <w:r>
        <w:rPr>
          <w:rFonts w:hint="eastAsia" w:ascii="方正仿宋_GBK" w:hAnsi="方正仿宋_GBK" w:cs="方正仿宋_GBK"/>
          <w:kern w:val="2"/>
        </w:rPr>
        <w:t xml:space="preserve"> 实施企业（单位）完成项目竣工验收后，按备案实施方案、市级下达的项目计划以及《重庆市优质粮食工程绩效评价综合评分表》（详见附件）等，逐项对照自查，形成自查报告。报区县（自治县）粮食行政管理部门，申请开展绩效评价及验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区县（自治县）验收</w:t>
      </w:r>
      <w:r>
        <w:rPr>
          <w:rFonts w:hint="eastAsia" w:ascii="方正仿宋_GBK" w:hAnsi="方正仿宋_GBK" w:cs="方正仿宋_GBK"/>
          <w:kern w:val="2"/>
        </w:rPr>
        <w:t xml:space="preserve"> 区县（自治县）粮食行政管理部门会同财政部门组织对项目开展第三方审计，并结合项目验收依据等相关材料进行绩效评价及验收。区县（自治县）粮食行政管理部门和财政部门及时将验收中发现的问题反馈至实施企业（单位），责令限期整改。项目实施企业（单位）限期整改到位，再次申请组织验收。验收结束后，区县（自治县）粮食行政管理部门形成报告报市粮食局、市财政局。验收合格结果作为专项资金拨付依据。</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市级抽查</w:t>
      </w:r>
      <w:r>
        <w:rPr>
          <w:rFonts w:hint="eastAsia" w:ascii="方正仿宋_GBK" w:hAnsi="方正仿宋_GBK" w:cs="方正仿宋_GBK"/>
          <w:kern w:val="2"/>
        </w:rPr>
        <w:t xml:space="preserve"> 市粮食局会同市财政局在区县（自治县）绩效评价及验收的基础上可组织市级抽查。</w:t>
      </w:r>
    </w:p>
    <w:p>
      <w:pPr>
        <w:numPr>
          <w:ilvl w:val="12"/>
          <w:numId w:val="0"/>
        </w:numPr>
        <w:tabs>
          <w:tab w:val="left" w:pos="0"/>
        </w:tabs>
        <w:overflowPunct w:val="0"/>
        <w:adjustRightInd/>
        <w:spacing w:beforeLines="0" w:after="0" w:afterLines="0" w:line="240" w:lineRule="auto"/>
        <w:ind w:left="632" w:leftChars="200" w:firstLine="0" w:firstLineChars="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资金管理</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补助标准 </w:t>
      </w:r>
      <w:r>
        <w:rPr>
          <w:rFonts w:hint="eastAsia" w:ascii="方正仿宋_GBK" w:hAnsi="方正仿宋_GBK" w:cs="方正仿宋_GBK"/>
          <w:kern w:val="2"/>
        </w:rPr>
        <w:t>坚持市场主导、财政引导。补助比例原则上不高于核算后项目投资总额的</w:t>
      </w:r>
      <w:r>
        <w:rPr>
          <w:rFonts w:hint="eastAsia" w:cs="方正仿宋_GBK"/>
          <w:kern w:val="2"/>
        </w:rPr>
        <w:t>30%</w:t>
      </w:r>
      <w:r>
        <w:rPr>
          <w:rFonts w:hint="eastAsia" w:ascii="方正仿宋_GBK" w:hAnsi="方正仿宋_GBK" w:cs="方正仿宋_GBK"/>
          <w:kern w:val="2"/>
        </w:rPr>
        <w:t>，对国家乡村振兴重点帮扶县可以适当倾斜支持。对已获得其他同类型财政性资金支持的项目，专项资金原则上不再支持。鼓励区县（自治县）制定财政补助政策，与市级专项补助资金叠加补助总额不得高于项目实际投资，并由区县财政部门进行管理和拨付。</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rPr>
        <w:t>资金拨付</w:t>
      </w:r>
      <w:r>
        <w:rPr>
          <w:rFonts w:hint="eastAsia" w:ascii="方正仿宋_GBK" w:hAnsi="方正仿宋_GBK" w:cs="方正仿宋_GBK"/>
          <w:kern w:val="2"/>
        </w:rPr>
        <w:t xml:space="preserve"> 项目实施单位自行筹集建设所需全部资金并组织实施，验收合格后，区县（自治县）财政部门将财政补助资金一次性拨付给项目实施企业（单位）。</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资金管理</w:t>
      </w:r>
      <w:r>
        <w:rPr>
          <w:rFonts w:hint="eastAsia" w:ascii="方正仿宋_GBK" w:hAnsi="方正仿宋_GBK" w:cs="方正仿宋_GBK"/>
          <w:kern w:val="2"/>
        </w:rPr>
        <w:t xml:space="preserve"> 实施企业（单位）应按照国家财务、会计制度的有关规定进行账务处理，严格按照规定使用专项资金，并自觉接受监督检查。</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绩效管理</w:t>
      </w:r>
      <w:r>
        <w:rPr>
          <w:rFonts w:hint="eastAsia" w:ascii="方正仿宋_GBK" w:hAnsi="方正仿宋_GBK" w:cs="方正仿宋_GBK"/>
          <w:kern w:val="2"/>
        </w:rPr>
        <w:t xml:space="preserve"> 粮食行政管理部门和财政部门要对专项资金实施全过程绩效管理，按照“谁使用、谁负责”的原则将项目预算绩效职责落实到资金使用终端。</w:t>
      </w:r>
    </w:p>
    <w:p>
      <w:pPr>
        <w:overflowPunct w:val="0"/>
        <w:adjustRightInd/>
        <w:spacing w:beforeLines="0" w:after="0" w:afterLines="0" w:line="240" w:lineRule="auto"/>
        <w:ind w:firstLine="632" w:firstLineChars="20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监督检查</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项目监督 </w:t>
      </w:r>
      <w:r>
        <w:rPr>
          <w:rFonts w:hint="eastAsia" w:ascii="方正仿宋_GBK" w:hAnsi="方正仿宋_GBK" w:cs="方正仿宋_GBK"/>
          <w:kern w:val="2"/>
        </w:rPr>
        <w:t>项目完成评审后由市粮食局进行公示，区县粮食行政管理部门加强对实施项目督导。实施企业（单位）严禁擅自进行项目变更，</w:t>
      </w:r>
      <w:r>
        <w:rPr>
          <w:rFonts w:hint="eastAsia" w:ascii="方正仿宋_GBK" w:hAnsi="方正仿宋_GBK" w:eastAsia="方正仿宋_GBK" w:cs="方正仿宋_GBK"/>
          <w:kern w:val="2"/>
        </w:rPr>
        <w:t>定期开展自查工作，发现问题及时协调解决，如期保质保量完工投用</w:t>
      </w:r>
      <w:r>
        <w:rPr>
          <w:rFonts w:hint="eastAsia" w:ascii="方正仿宋_GBK" w:hAnsi="方正仿宋_GBK" w:cs="方正仿宋_GBK"/>
          <w:kern w:val="2"/>
        </w:rPr>
        <w:t>。</w:t>
      </w:r>
    </w:p>
    <w:p>
      <w:pPr>
        <w:numPr>
          <w:ilvl w:val="12"/>
          <w:numId w:val="0"/>
        </w:numPr>
        <w:tabs>
          <w:tab w:val="left" w:pos="0"/>
        </w:tabs>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实施</w:t>
      </w:r>
      <w:r>
        <w:rPr>
          <w:rFonts w:hint="eastAsia" w:ascii="方正仿宋_GBK" w:hAnsi="方正仿宋_GBK" w:cs="方正仿宋_GBK"/>
        </w:rPr>
        <w:t>企业（单位）随意进行项目变更、未专款专用、套取专项资金、限期未整改到位或再次验收仍不合格等情况，</w:t>
      </w:r>
      <w:r>
        <w:rPr>
          <w:rFonts w:hint="eastAsia" w:ascii="方正仿宋_GBK" w:hAnsi="方正仿宋_GBK" w:cs="方正仿宋_GBK"/>
          <w:kern w:val="2"/>
        </w:rPr>
        <w:t>市粮食局、市财政局根据实际情况撤销或调整项目计划，收回相应专项资金，在一定时期和范围内不再支持其参与申报优质粮食工程项目。</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资金监督 区县财政部门加强资金监督，任何单位和个人不得以任何理由、任何形式截留、挪用、虚报、冒领专项资金，切实保障资金安全。</w:t>
      </w:r>
    </w:p>
    <w:p>
      <w:pPr>
        <w:overflowPunct w:val="0"/>
        <w:adjustRightInd/>
        <w:spacing w:beforeLines="0" w:after="0" w:afterLines="0" w:line="240" w:lineRule="auto"/>
        <w:ind w:left="0" w:firstLine="632" w:firstLineChars="20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附  则</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w:t>
      </w:r>
      <w:r>
        <w:rPr>
          <w:rFonts w:hint="eastAsia" w:ascii="方正仿宋_GBK" w:hAnsi="方正仿宋_GBK" w:cs="方正仿宋_GBK"/>
          <w:kern w:val="2"/>
        </w:rPr>
        <w:t>本办法自印发之日起执行。</w:t>
      </w:r>
      <w:r>
        <w:rPr>
          <w:rFonts w:hint="eastAsia" w:cs="方正仿宋_GBK"/>
          <w:kern w:val="2"/>
        </w:rPr>
        <w:t>2019</w:t>
      </w:r>
      <w:r>
        <w:rPr>
          <w:rFonts w:hint="eastAsia" w:ascii="方正仿宋_GBK" w:hAnsi="方正仿宋_GBK" w:cs="方正仿宋_GBK"/>
          <w:kern w:val="2"/>
        </w:rPr>
        <w:t>年</w:t>
      </w:r>
      <w:r>
        <w:rPr>
          <w:rFonts w:hint="eastAsia" w:cs="方正仿宋_GBK"/>
          <w:kern w:val="2"/>
        </w:rPr>
        <w:t>7</w:t>
      </w:r>
      <w:r>
        <w:rPr>
          <w:rFonts w:hint="eastAsia" w:ascii="方正仿宋_GBK" w:hAnsi="方正仿宋_GBK" w:cs="方正仿宋_GBK"/>
          <w:kern w:val="2"/>
        </w:rPr>
        <w:t>月</w:t>
      </w:r>
      <w:r>
        <w:rPr>
          <w:rFonts w:hint="eastAsia" w:cs="方正仿宋_GBK"/>
          <w:kern w:val="2"/>
        </w:rPr>
        <w:t>5</w:t>
      </w:r>
      <w:r>
        <w:rPr>
          <w:rFonts w:hint="eastAsia" w:ascii="方正仿宋_GBK" w:hAnsi="方正仿宋_GBK" w:cs="方正仿宋_GBK"/>
          <w:kern w:val="2"/>
        </w:rPr>
        <w:t>日重庆市发展和改革委员会、重庆市财政局联合发布的《重庆市“优质粮食工程”项目管理办法（试行）》（渝发改粮食〔</w:t>
      </w:r>
      <w:r>
        <w:rPr>
          <w:rFonts w:hint="eastAsia" w:cs="方正仿宋_GBK"/>
          <w:kern w:val="2"/>
        </w:rPr>
        <w:t>2019</w:t>
      </w:r>
      <w:r>
        <w:rPr>
          <w:rFonts w:hint="eastAsia" w:ascii="方正仿宋_GBK" w:hAnsi="方正仿宋_GBK" w:cs="方正仿宋_GBK"/>
          <w:kern w:val="2"/>
        </w:rPr>
        <w:t>〕</w:t>
      </w:r>
      <w:r>
        <w:rPr>
          <w:rFonts w:hint="eastAsia" w:cs="方正仿宋_GBK"/>
          <w:kern w:val="2"/>
        </w:rPr>
        <w:t>827</w:t>
      </w:r>
      <w:r>
        <w:rPr>
          <w:rFonts w:hint="eastAsia" w:ascii="方正仿宋_GBK" w:hAnsi="方正仿宋_GBK" w:cs="方正仿宋_GBK"/>
          <w:kern w:val="2"/>
        </w:rPr>
        <w:t>号）同时废止。</w:t>
      </w:r>
    </w:p>
    <w:p>
      <w:pPr>
        <w:pBdr>
          <w:top w:val="none" w:color="auto" w:sz="0" w:space="0"/>
          <w:left w:val="none" w:color="auto" w:sz="0" w:space="0"/>
          <w:bottom w:val="none" w:color="auto" w:sz="0" w:space="0"/>
          <w:right w:val="none" w:color="auto" w:sz="0" w:space="0"/>
          <w:between w:val="none" w:color="auto" w:sz="0" w:space="0"/>
        </w:pBdr>
        <w:overflowPunct w:val="0"/>
        <w:adjustRightInd/>
        <w:spacing w:beforeLines="0" w:after="0" w:afterLines="0" w:line="240" w:lineRule="auto"/>
        <w:ind w:firstLine="632" w:firstLineChars="200"/>
        <w:textAlignment w:val="auto"/>
        <w:rPr>
          <w:rFonts w:hint="eastAsia" w:ascii="方正仿宋_GBK" w:hAnsi="方正仿宋_GBK" w:cs="方正仿宋_GBK"/>
          <w:bCs/>
          <w:kern w:val="2"/>
        </w:rPr>
      </w:pPr>
    </w:p>
    <w:p>
      <w:pPr>
        <w:pBdr>
          <w:top w:val="none" w:color="auto" w:sz="0" w:space="0"/>
          <w:left w:val="none" w:color="auto" w:sz="0" w:space="0"/>
          <w:bottom w:val="none" w:color="auto" w:sz="0" w:space="0"/>
          <w:right w:val="none" w:color="auto" w:sz="0" w:space="0"/>
          <w:between w:val="none" w:color="auto" w:sz="0" w:space="0"/>
        </w:pBdr>
        <w:overflowPunct w:val="0"/>
        <w:adjustRightInd/>
        <w:spacing w:beforeLines="0" w:after="0" w:afterLines="0" w:line="240" w:lineRule="auto"/>
        <w:ind w:firstLine="632" w:firstLineChars="200"/>
        <w:textAlignment w:val="auto"/>
        <w:rPr>
          <w:rFonts w:hint="eastAsia" w:ascii="方正仿宋_GBK" w:hAnsi="方正仿宋_GBK" w:cs="方正仿宋_GBK"/>
          <w:bCs/>
          <w:kern w:val="2"/>
        </w:rPr>
        <w:sectPr>
          <w:footerReference r:id="rId4" w:type="first"/>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AndChars" w:linePitch="579" w:charSpace="-849"/>
        </w:sectPr>
      </w:pPr>
      <w:r>
        <w:rPr>
          <w:rFonts w:hint="eastAsia" w:ascii="方正仿宋_GBK" w:hAnsi="方正仿宋_GBK" w:cs="方正仿宋_GBK"/>
          <w:bCs/>
          <w:kern w:val="2"/>
        </w:rPr>
        <w:t>附件：重庆市优质粮食工程绩效评价综合评分表</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beforeLines="0" w:after="0" w:afterLines="0" w:line="240" w:lineRule="auto"/>
        <w:rPr>
          <w:rFonts w:eastAsia="方正黑体_GBK"/>
          <w:bCs/>
        </w:rPr>
      </w:pPr>
      <w:r>
        <w:rPr>
          <w:rFonts w:eastAsia="方正黑体_GBK"/>
          <w:bCs/>
        </w:rPr>
        <w:t>附件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beforeLines="0" w:after="0" w:afterLines="0" w:line="240" w:lineRule="auto"/>
        <w:rPr>
          <w:bCs/>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beforeLines="0" w:after="0" w:afterLines="0" w:line="580" w:lineRule="exact"/>
        <w:ind w:left="0" w:leftChars="0" w:firstLine="0" w:firstLineChars="0"/>
        <w:jc w:val="center"/>
        <w:outlineLvl w:val="0"/>
        <w:rPr>
          <w:bCs/>
        </w:rPr>
      </w:pPr>
      <w:r>
        <w:rPr>
          <w:rFonts w:eastAsia="方正小标宋_GBK"/>
          <w:sz w:val="44"/>
          <w:szCs w:val="44"/>
          <w:lang w:bidi="ar"/>
        </w:rPr>
        <w:t>重庆市优质粮食工程绩效评价综合评分表</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beforeLines="0" w:after="0" w:afterLines="0" w:line="240" w:lineRule="auto"/>
        <w:rPr>
          <w:bCs/>
        </w:rPr>
      </w:pPr>
    </w:p>
    <w:tbl>
      <w:tblPr>
        <w:tblStyle w:val="7"/>
        <w:tblW w:w="155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09"/>
        <w:gridCol w:w="679"/>
        <w:gridCol w:w="712"/>
        <w:gridCol w:w="572"/>
        <w:gridCol w:w="1242"/>
        <w:gridCol w:w="654"/>
        <w:gridCol w:w="2673"/>
        <w:gridCol w:w="769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40" w:hRule="atLeast"/>
          <w:tblHeade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lang w:bidi="ar"/>
              </w:rPr>
            </w:pPr>
            <w:r>
              <w:rPr>
                <w:rFonts w:hint="default" w:eastAsia="方正黑体_GBK"/>
                <w:sz w:val="24"/>
                <w:szCs w:val="24"/>
                <w:lang w:bidi="ar"/>
              </w:rPr>
              <w:t>一级</w:t>
            </w:r>
          </w:p>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指标</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分值</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lang w:bidi="ar"/>
              </w:rPr>
            </w:pPr>
            <w:r>
              <w:rPr>
                <w:rFonts w:hint="default" w:eastAsia="方正黑体_GBK"/>
                <w:sz w:val="24"/>
                <w:szCs w:val="24"/>
                <w:lang w:bidi="ar"/>
              </w:rPr>
              <w:t>二级</w:t>
            </w:r>
          </w:p>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指标</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分值</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三级指标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分值</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指标解释</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评分标准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项目决策</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10</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项目筹备</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方案制定</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企业是否制定该项目具体实施方案</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是否制定具体方案（</w:t>
            </w:r>
            <w:r>
              <w:rPr>
                <w:rFonts w:hint="default"/>
                <w:sz w:val="24"/>
                <w:szCs w:val="24"/>
                <w:lang w:bidi="ar"/>
              </w:rPr>
              <w:t>0</w:t>
            </w:r>
            <w:r>
              <w:rPr>
                <w:rFonts w:hint="default"/>
                <w:sz w:val="24"/>
                <w:szCs w:val="24"/>
                <w:lang w:bidi="ar"/>
              </w:rPr>
              <w:t>-</w:t>
            </w:r>
            <w:r>
              <w:rPr>
                <w:rFonts w:hint="default"/>
                <w:sz w:val="24"/>
                <w:szCs w:val="24"/>
                <w:lang w:bidi="ar"/>
              </w:rPr>
              <w:t>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组织机构</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企业是否成立相应的组织领导机构</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是否成立相应组织机构（</w:t>
            </w:r>
            <w:r>
              <w:rPr>
                <w:rFonts w:hint="default"/>
                <w:sz w:val="24"/>
                <w:szCs w:val="24"/>
                <w:lang w:bidi="ar"/>
              </w:rPr>
              <w:t>0</w:t>
            </w:r>
            <w:r>
              <w:rPr>
                <w:rFonts w:hint="default"/>
                <w:sz w:val="24"/>
                <w:szCs w:val="24"/>
                <w:lang w:bidi="ar"/>
              </w:rPr>
              <w:t>-</w:t>
            </w:r>
            <w:r>
              <w:rPr>
                <w:rFonts w:hint="default"/>
                <w:sz w:val="24"/>
                <w:szCs w:val="24"/>
                <w:lang w:bidi="ar"/>
              </w:rPr>
              <w:t>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64"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项目管理</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项目实施</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15</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合同管理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2</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是否按照合同管理制度开展项目</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与中标单位签订合同，明确责任、权利和义务，并按合同执行（</w:t>
            </w:r>
            <w:r>
              <w:rPr>
                <w:rFonts w:hint="default"/>
                <w:sz w:val="24"/>
                <w:szCs w:val="24"/>
                <w:lang w:bidi="ar"/>
              </w:rPr>
              <w:t>0</w:t>
            </w:r>
            <w:r>
              <w:rPr>
                <w:rFonts w:hint="default"/>
                <w:sz w:val="24"/>
                <w:szCs w:val="24"/>
                <w:lang w:bidi="ar"/>
              </w:rPr>
              <w:t>-</w:t>
            </w:r>
            <w:r>
              <w:rPr>
                <w:rFonts w:hint="default"/>
                <w:sz w:val="24"/>
                <w:szCs w:val="24"/>
                <w:lang w:bidi="ar"/>
              </w:rPr>
              <w:t>2</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8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廉政建设</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2</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相关主体是否执行有关廉政管理制度</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与中标单位签订廉政建设责任书（</w:t>
            </w:r>
            <w:r>
              <w:rPr>
                <w:rFonts w:hint="default"/>
                <w:sz w:val="24"/>
                <w:szCs w:val="24"/>
                <w:lang w:bidi="ar"/>
              </w:rPr>
              <w:t>2</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2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项目监督考核有效性</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6</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项目实施企业对项目实施的监督考察是否执行有效</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.若项目在建设中出现项目建设进展缓慢并被市级部门通报（含会议通报），出现</w:t>
            </w:r>
            <w:r>
              <w:rPr>
                <w:rFonts w:hint="default"/>
                <w:sz w:val="24"/>
                <w:szCs w:val="24"/>
                <w:lang w:bidi="ar"/>
              </w:rPr>
              <w:t>2</w:t>
            </w:r>
            <w:r>
              <w:rPr>
                <w:rFonts w:hint="default"/>
                <w:sz w:val="24"/>
                <w:szCs w:val="24"/>
                <w:lang w:bidi="ar"/>
              </w:rPr>
              <w:t>次（含本数）以下扣</w:t>
            </w:r>
            <w:r>
              <w:rPr>
                <w:rFonts w:hint="default"/>
                <w:sz w:val="24"/>
                <w:szCs w:val="24"/>
                <w:lang w:bidi="ar"/>
              </w:rPr>
              <w:t>2</w:t>
            </w:r>
            <w:r>
              <w:rPr>
                <w:rFonts w:hint="default"/>
                <w:sz w:val="24"/>
                <w:szCs w:val="24"/>
                <w:lang w:bidi="ar"/>
              </w:rPr>
              <w:t>分；</w:t>
            </w:r>
            <w:r>
              <w:rPr>
                <w:rFonts w:hint="default"/>
                <w:sz w:val="24"/>
                <w:szCs w:val="24"/>
                <w:lang w:bidi="ar"/>
              </w:rPr>
              <w:t>3</w:t>
            </w:r>
            <w:r>
              <w:rPr>
                <w:rFonts w:hint="default"/>
                <w:sz w:val="24"/>
                <w:szCs w:val="24"/>
                <w:lang w:bidi="ar"/>
              </w:rPr>
              <w:t>次（含本数）以上扣</w:t>
            </w:r>
            <w:r>
              <w:rPr>
                <w:rFonts w:hint="default"/>
                <w:sz w:val="24"/>
                <w:szCs w:val="24"/>
                <w:lang w:bidi="ar"/>
              </w:rPr>
              <w:t>3</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.按时在优质粮食工程项目库管理系统中准确填报项目建设情况，出现</w:t>
            </w:r>
            <w:r>
              <w:rPr>
                <w:rFonts w:hint="default"/>
                <w:sz w:val="24"/>
                <w:szCs w:val="24"/>
                <w:lang w:bidi="ar"/>
              </w:rPr>
              <w:t>2</w:t>
            </w:r>
            <w:r>
              <w:rPr>
                <w:rFonts w:hint="default"/>
                <w:sz w:val="24"/>
                <w:szCs w:val="24"/>
                <w:lang w:bidi="ar"/>
              </w:rPr>
              <w:t>次（含本数）以下晚报、错报扣</w:t>
            </w:r>
            <w:r>
              <w:rPr>
                <w:rFonts w:hint="default"/>
                <w:sz w:val="24"/>
                <w:szCs w:val="24"/>
                <w:lang w:bidi="ar"/>
              </w:rPr>
              <w:t>2</w:t>
            </w:r>
            <w:r>
              <w:rPr>
                <w:rFonts w:hint="default"/>
                <w:sz w:val="24"/>
                <w:szCs w:val="24"/>
                <w:lang w:bidi="ar"/>
              </w:rPr>
              <w:t>分；</w:t>
            </w:r>
            <w:r>
              <w:rPr>
                <w:rFonts w:hint="default"/>
                <w:sz w:val="24"/>
                <w:szCs w:val="24"/>
                <w:lang w:bidi="ar"/>
              </w:rPr>
              <w:t>3</w:t>
            </w:r>
            <w:r>
              <w:rPr>
                <w:rFonts w:hint="default"/>
                <w:sz w:val="24"/>
                <w:szCs w:val="24"/>
                <w:lang w:bidi="ar"/>
              </w:rPr>
              <w:t>次（含本数）以上晚报、错报扣</w:t>
            </w:r>
            <w:r>
              <w:rPr>
                <w:rFonts w:hint="default"/>
                <w:sz w:val="24"/>
                <w:szCs w:val="24"/>
                <w:lang w:bidi="ar"/>
              </w:rPr>
              <w:t>3</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2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项目档案管理规范性</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相关主体是否执行有关档案管理制度，档案管理是否按照制度规范实施</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.相关主体是否执行有关档案管理制度（</w:t>
            </w:r>
            <w:r>
              <w:rPr>
                <w:rFonts w:hint="default"/>
                <w:sz w:val="24"/>
                <w:szCs w:val="24"/>
                <w:lang w:bidi="ar"/>
              </w:rPr>
              <w:t>0</w:t>
            </w:r>
            <w:r>
              <w:rPr>
                <w:rFonts w:hint="default"/>
                <w:sz w:val="24"/>
                <w:szCs w:val="24"/>
                <w:lang w:bidi="ar"/>
              </w:rPr>
              <w:t>-</w:t>
            </w:r>
            <w:r>
              <w:rPr>
                <w:rFonts w:hint="default"/>
                <w:sz w:val="24"/>
                <w:szCs w:val="24"/>
                <w:lang w:bidi="ar"/>
              </w:rPr>
              <w:t>2</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.项目实施过程中，各项目档案资料收集、保存完整，整理规范（</w:t>
            </w:r>
            <w:r>
              <w:rPr>
                <w:rFonts w:hint="default"/>
                <w:sz w:val="24"/>
                <w:szCs w:val="24"/>
                <w:lang w:bidi="ar"/>
              </w:rPr>
              <w:t>0</w:t>
            </w:r>
            <w:r>
              <w:rPr>
                <w:rFonts w:hint="default"/>
                <w:sz w:val="24"/>
                <w:szCs w:val="24"/>
                <w:lang w:bidi="ar"/>
              </w:rPr>
              <w:t>-</w:t>
            </w:r>
            <w:r>
              <w:rPr>
                <w:rFonts w:hint="default"/>
                <w:sz w:val="24"/>
                <w:szCs w:val="24"/>
                <w:lang w:bidi="ar"/>
              </w:rPr>
              <w:t>3</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资金管理</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15</w:t>
            </w:r>
          </w:p>
        </w:tc>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资金使用合规性</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企业规范使用资金情况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.企业自筹资金全部到位，并用于项目建设（</w:t>
            </w:r>
            <w:r>
              <w:rPr>
                <w:rFonts w:hint="default"/>
                <w:sz w:val="24"/>
                <w:szCs w:val="24"/>
                <w:lang w:bidi="ar"/>
              </w:rPr>
              <w:t>2</w:t>
            </w:r>
            <w:r>
              <w:rPr>
                <w:rFonts w:hint="default"/>
                <w:sz w:val="24"/>
                <w:szCs w:val="24"/>
                <w:lang w:bidi="ar"/>
              </w:rPr>
              <w:t xml:space="preserve">分）；                        </w:t>
            </w:r>
            <w:r>
              <w:rPr>
                <w:rFonts w:hint="default"/>
                <w:sz w:val="24"/>
                <w:szCs w:val="24"/>
                <w:lang w:bidi="ar"/>
              </w:rPr>
              <w:br w:type="textWrapping"/>
            </w:r>
            <w:r>
              <w:rPr>
                <w:rFonts w:hint="eastAsia"/>
                <w:sz w:val="24"/>
                <w:szCs w:val="24"/>
                <w:lang w:bidi="ar"/>
              </w:rPr>
              <w:t>2</w:t>
            </w:r>
            <w:r>
              <w:rPr>
                <w:rFonts w:hint="default"/>
                <w:sz w:val="24"/>
                <w:szCs w:val="24"/>
                <w:lang w:bidi="ar"/>
              </w:rPr>
              <w:t>.资金实行专账管理（</w:t>
            </w:r>
            <w:r>
              <w:rPr>
                <w:rFonts w:hint="eastAsia"/>
                <w:sz w:val="24"/>
                <w:szCs w:val="24"/>
                <w:lang w:bidi="ar"/>
              </w:rPr>
              <w:t>3</w:t>
            </w:r>
            <w:r>
              <w:rPr>
                <w:rFonts w:hint="default"/>
                <w:sz w:val="24"/>
                <w:szCs w:val="24"/>
                <w:lang w:bidi="ar"/>
              </w:rPr>
              <w:t>分）；</w:t>
            </w:r>
            <w:r>
              <w:rPr>
                <w:rFonts w:hint="default"/>
                <w:sz w:val="24"/>
                <w:szCs w:val="24"/>
                <w:lang w:bidi="ar"/>
              </w:rPr>
              <w:br w:type="textWrapping"/>
            </w:r>
            <w:r>
              <w:rPr>
                <w:rFonts w:hint="eastAsia"/>
                <w:sz w:val="24"/>
                <w:szCs w:val="24"/>
                <w:lang w:bidi="ar"/>
              </w:rPr>
              <w:t>3</w:t>
            </w:r>
            <w:r>
              <w:rPr>
                <w:rFonts w:hint="default"/>
                <w:sz w:val="24"/>
                <w:szCs w:val="24"/>
                <w:lang w:bidi="ar"/>
              </w:rPr>
              <w:t>.企业采买设施服务符合有关规定要求，项目合同及资金收支票证符合财务规定（</w:t>
            </w:r>
            <w:r>
              <w:rPr>
                <w:rFonts w:hint="eastAsia"/>
                <w:sz w:val="24"/>
                <w:szCs w:val="24"/>
                <w:lang w:bidi="ar"/>
              </w:rPr>
              <w:t>3</w:t>
            </w:r>
            <w:r>
              <w:rPr>
                <w:rFonts w:hint="default"/>
                <w:sz w:val="24"/>
                <w:szCs w:val="24"/>
                <w:lang w:bidi="ar"/>
              </w:rPr>
              <w:t xml:space="preserve">分）；                                            </w:t>
            </w:r>
            <w:r>
              <w:rPr>
                <w:rFonts w:hint="default"/>
                <w:sz w:val="24"/>
                <w:szCs w:val="24"/>
                <w:lang w:bidi="ar"/>
              </w:rPr>
              <w:br w:type="textWrapping"/>
            </w:r>
            <w:r>
              <w:rPr>
                <w:rFonts w:hint="eastAsia"/>
                <w:sz w:val="24"/>
                <w:szCs w:val="24"/>
                <w:lang w:bidi="ar"/>
              </w:rPr>
              <w:t>4</w:t>
            </w:r>
            <w:r>
              <w:rPr>
                <w:rFonts w:hint="default"/>
                <w:sz w:val="24"/>
                <w:szCs w:val="24"/>
                <w:lang w:bidi="ar"/>
              </w:rPr>
              <w:t>.无违规挪用资金行为，未出现截留、挤占、虚列支出的情况（</w:t>
            </w:r>
            <w:r>
              <w:rPr>
                <w:rFonts w:hint="default"/>
                <w:sz w:val="24"/>
                <w:szCs w:val="24"/>
                <w:lang w:bidi="ar"/>
              </w:rPr>
              <w:t>2</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项目审计</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经区县粮食行政管理部门及财政部门组织的第三方审计，项目相关情况无重大问题（</w:t>
            </w:r>
            <w:r>
              <w:rPr>
                <w:rFonts w:hint="default"/>
                <w:sz w:val="24"/>
                <w:szCs w:val="24"/>
                <w:lang w:bidi="ar"/>
              </w:rPr>
              <w:t>0</w:t>
            </w:r>
            <w:r>
              <w:rPr>
                <w:rFonts w:hint="default"/>
                <w:sz w:val="24"/>
                <w:szCs w:val="24"/>
                <w:lang w:bidi="ar"/>
              </w:rPr>
              <w:t>-</w:t>
            </w:r>
            <w:r>
              <w:rPr>
                <w:rFonts w:hint="default"/>
                <w:sz w:val="24"/>
                <w:szCs w:val="24"/>
                <w:lang w:bidi="ar"/>
              </w:rPr>
              <w:t>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项目产出</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产出数量和质量</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粮食绿色仓储提升行动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280" w:lineRule="exact"/>
              <w:ind w:left="0" w:leftChars="0"/>
              <w:textAlignment w:val="center"/>
              <w:rPr>
                <w:rFonts w:hint="default"/>
                <w:sz w:val="24"/>
                <w:szCs w:val="24"/>
              </w:rPr>
            </w:pPr>
            <w:r>
              <w:rPr>
                <w:rFonts w:hint="default"/>
                <w:sz w:val="24"/>
                <w:szCs w:val="24"/>
                <w:lang w:bidi="ar"/>
              </w:rPr>
              <w:t>项目建设内容是否符合粮食绿色仓储提升行动方案要求，是否按照市粮食局下达项目计划文件内容实施建设</w:t>
            </w:r>
          </w:p>
        </w:tc>
        <w:tc>
          <w:tcPr>
            <w:tcW w:w="7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.项目实施内容是否符合《重庆市深入推进优质粮食工程实施方案》（渝粮规范〔</w:t>
            </w:r>
            <w:r>
              <w:rPr>
                <w:rFonts w:hint="default"/>
                <w:sz w:val="24"/>
                <w:szCs w:val="24"/>
                <w:lang w:bidi="ar"/>
              </w:rPr>
              <w:t>2022</w:t>
            </w:r>
            <w:r>
              <w:rPr>
                <w:rFonts w:hint="default"/>
                <w:sz w:val="24"/>
                <w:szCs w:val="24"/>
                <w:lang w:bidi="ar"/>
              </w:rPr>
              <w:t>〕</w:t>
            </w:r>
            <w:r>
              <w:rPr>
                <w:rFonts w:hint="default"/>
                <w:sz w:val="24"/>
                <w:szCs w:val="24"/>
                <w:lang w:bidi="ar"/>
              </w:rPr>
              <w:t>4</w:t>
            </w:r>
            <w:r>
              <w:rPr>
                <w:rFonts w:hint="default"/>
                <w:sz w:val="24"/>
                <w:szCs w:val="24"/>
                <w:lang w:bidi="ar"/>
              </w:rPr>
              <w:t>号）文件要求（</w:t>
            </w:r>
            <w:r>
              <w:rPr>
                <w:rFonts w:hint="default"/>
                <w:sz w:val="24"/>
                <w:szCs w:val="24"/>
                <w:lang w:bidi="ar"/>
              </w:rPr>
              <w:t>10</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.是否完成市粮食局下达项目计划文件的全部实施内容、完工率</w:t>
            </w:r>
            <w:r>
              <w:rPr>
                <w:rFonts w:hint="default"/>
                <w:sz w:val="24"/>
                <w:szCs w:val="24"/>
                <w:lang w:bidi="ar"/>
              </w:rPr>
              <w:t>100%</w:t>
            </w:r>
            <w:r>
              <w:rPr>
                <w:rFonts w:hint="default"/>
                <w:sz w:val="24"/>
                <w:szCs w:val="24"/>
                <w:lang w:bidi="ar"/>
              </w:rPr>
              <w:t>，并可以投入使用（</w:t>
            </w:r>
            <w:r>
              <w:rPr>
                <w:rFonts w:hint="default"/>
                <w:sz w:val="24"/>
                <w:szCs w:val="24"/>
                <w:lang w:bidi="ar"/>
              </w:rPr>
              <w:t>0</w:t>
            </w:r>
            <w:r>
              <w:rPr>
                <w:rFonts w:hint="default"/>
                <w:sz w:val="24"/>
                <w:szCs w:val="24"/>
                <w:lang w:bidi="ar"/>
              </w:rPr>
              <w:t>-</w:t>
            </w:r>
            <w:r>
              <w:rPr>
                <w:rFonts w:hint="default"/>
                <w:sz w:val="24"/>
                <w:szCs w:val="24"/>
                <w:lang w:bidi="ar"/>
              </w:rPr>
              <w:t>20</w:t>
            </w:r>
            <w:r>
              <w:rPr>
                <w:rFonts w:hint="default"/>
                <w:sz w:val="24"/>
                <w:szCs w:val="24"/>
                <w:lang w:bidi="ar"/>
              </w:rPr>
              <w:t>分）；</w:t>
            </w:r>
            <w:r>
              <w:rPr>
                <w:rFonts w:hint="default"/>
                <w:sz w:val="24"/>
                <w:szCs w:val="24"/>
                <w:lang w:bidi="ar"/>
              </w:rPr>
              <w:br w:type="textWrapping"/>
            </w:r>
            <w:r>
              <w:rPr>
                <w:rFonts w:hint="default"/>
                <w:sz w:val="24"/>
                <w:szCs w:val="24"/>
                <w:lang w:bidi="ar"/>
              </w:rPr>
              <w:t>3</w:t>
            </w:r>
            <w:r>
              <w:rPr>
                <w:rFonts w:hint="default"/>
                <w:sz w:val="24"/>
                <w:szCs w:val="24"/>
                <w:lang w:bidi="ar"/>
              </w:rPr>
              <w:t>.项目实施周期超计划文件要求，扣</w:t>
            </w:r>
            <w:r>
              <w:rPr>
                <w:rFonts w:hint="default"/>
                <w:sz w:val="24"/>
                <w:szCs w:val="24"/>
                <w:lang w:bidi="ar"/>
              </w:rPr>
              <w:t>0</w:t>
            </w:r>
            <w:r>
              <w:rPr>
                <w:rFonts w:hint="default"/>
                <w:sz w:val="24"/>
                <w:szCs w:val="24"/>
                <w:lang w:bidi="ar"/>
              </w:rPr>
              <w:t>-</w:t>
            </w:r>
            <w:r>
              <w:rPr>
                <w:rFonts w:hint="default"/>
                <w:sz w:val="24"/>
                <w:szCs w:val="24"/>
                <w:lang w:bidi="ar"/>
              </w:rPr>
              <w:t>10</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粮食品种品质品牌提升行动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280" w:lineRule="exact"/>
              <w:ind w:left="0" w:leftChars="0"/>
              <w:textAlignment w:val="center"/>
              <w:rPr>
                <w:rFonts w:hint="default"/>
                <w:sz w:val="24"/>
                <w:szCs w:val="24"/>
              </w:rPr>
            </w:pPr>
            <w:r>
              <w:rPr>
                <w:rFonts w:hint="default"/>
                <w:sz w:val="24"/>
                <w:szCs w:val="24"/>
                <w:lang w:bidi="ar"/>
              </w:rPr>
              <w:t>项目建设内容是否符合粮食品种品质品牌提升行动方案要求，是否按照市粮食局下达项目计划文件内容实施建设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粮食质量追溯提升行动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280" w:lineRule="exact"/>
              <w:ind w:left="0" w:leftChars="0"/>
              <w:textAlignment w:val="center"/>
              <w:rPr>
                <w:rFonts w:hint="default"/>
                <w:sz w:val="24"/>
                <w:szCs w:val="24"/>
              </w:rPr>
            </w:pPr>
            <w:r>
              <w:rPr>
                <w:rFonts w:hint="default"/>
                <w:sz w:val="24"/>
                <w:szCs w:val="24"/>
                <w:lang w:bidi="ar"/>
              </w:rPr>
              <w:t>项目建设内容是否符合粮食质量追溯提升行动方案要求，是否按照市粮食局下达项目计划文件内容实施建设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粮食机械装备提升行动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280" w:lineRule="exact"/>
              <w:ind w:left="0" w:leftChars="0"/>
              <w:textAlignment w:val="center"/>
              <w:rPr>
                <w:rFonts w:hint="default"/>
                <w:sz w:val="24"/>
                <w:szCs w:val="24"/>
              </w:rPr>
            </w:pPr>
            <w:r>
              <w:rPr>
                <w:rFonts w:hint="default"/>
                <w:sz w:val="24"/>
                <w:szCs w:val="24"/>
                <w:lang w:bidi="ar"/>
              </w:rPr>
              <w:t>项目建设内容是否符合粮食机械装备提升行动方案要求，是否按照市粮食局下达项目计划文件内容实施建设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粮食应急保障能力提升行动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项目建设内容是否符合粮食应急保障能力提升行动建设方案要求，是否按照市粮食局下达项目计划文件内容实施建设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58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粮食节约减损健康消费提升行动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项目建设内容是否符合粮食节约减损健康消费提升行动方案要求，是否按照市粮食局下达项目计划文件内容实施建设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9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项目效果</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项目效益</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粮食绿色仓储提升行动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eastAsia"/>
                <w:sz w:val="24"/>
                <w:szCs w:val="24"/>
                <w:lang w:bidi="ar"/>
              </w:rPr>
              <w:t>3</w:t>
            </w:r>
            <w:r>
              <w:rPr>
                <w:rFonts w:hint="default"/>
                <w:sz w:val="24"/>
                <w:szCs w:val="24"/>
                <w:lang w:bidi="ar"/>
              </w:rPr>
              <w:t>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储粮水平和品质保障能力提升情况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.切实提升储备粮质量，增加绿色优质粮油产品有效供给（</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 xml:space="preserve">分）；                      </w:t>
            </w:r>
            <w:r>
              <w:rPr>
                <w:rFonts w:hint="default"/>
                <w:sz w:val="24"/>
                <w:szCs w:val="24"/>
                <w:lang w:bidi="ar"/>
              </w:rPr>
              <w:br w:type="textWrapping"/>
            </w:r>
            <w:r>
              <w:rPr>
                <w:rFonts w:hint="default"/>
                <w:sz w:val="24"/>
                <w:szCs w:val="24"/>
                <w:lang w:bidi="ar"/>
              </w:rPr>
              <w:t>2</w:t>
            </w:r>
            <w:r>
              <w:rPr>
                <w:rFonts w:hint="default"/>
                <w:sz w:val="24"/>
                <w:szCs w:val="24"/>
                <w:lang w:bidi="ar"/>
              </w:rPr>
              <w:t>.着力推动粮食储备高质量发展，更好保障国家粮食安全（</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粮食品种品质品牌提升行动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绿色优质粮油产品供给提升情况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.优质粮油产品市场供给数量、市场占有率较未实施项目建设前提升</w:t>
            </w:r>
            <w:r>
              <w:rPr>
                <w:rFonts w:hint="default"/>
                <w:sz w:val="24"/>
                <w:szCs w:val="24"/>
                <w:lang w:bidi="ar"/>
              </w:rPr>
              <w:t>10%</w:t>
            </w:r>
            <w:r>
              <w:rPr>
                <w:rFonts w:hint="default"/>
                <w:sz w:val="24"/>
                <w:szCs w:val="24"/>
                <w:lang w:bidi="ar"/>
              </w:rPr>
              <w:t>以上（</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.带动农民增收取得实效（</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粮食质量追溯提升行动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质检中心检验数据质量的提升情况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.建设完成后可检验指标增加和准确度提升（</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 xml:space="preserve">分）； </w:t>
            </w:r>
            <w:r>
              <w:rPr>
                <w:rFonts w:hint="default"/>
                <w:sz w:val="24"/>
                <w:szCs w:val="24"/>
                <w:lang w:bidi="ar"/>
              </w:rPr>
              <w:br w:type="textWrapping"/>
            </w:r>
            <w:r>
              <w:rPr>
                <w:rFonts w:hint="default"/>
                <w:sz w:val="24"/>
                <w:szCs w:val="24"/>
                <w:lang w:bidi="ar"/>
              </w:rPr>
              <w:t>2</w:t>
            </w:r>
            <w:r>
              <w:rPr>
                <w:rFonts w:hint="default"/>
                <w:sz w:val="24"/>
                <w:szCs w:val="24"/>
                <w:lang w:bidi="ar"/>
              </w:rPr>
              <w:t>.粮油质量安全检验可追溯（</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1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粮食机械装备提升行动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应用具有自主知识产权和核心技术的装备情况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.使用装备具有自主知识产权和核心技术（</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.新设备装配有效提升工作效率（</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粮食应急保障能力提升行动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粮食应急保障能力提升情况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.成品粮油仓储存储能力大幅提升，存储环境大幅改善（</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.应急设施布局更加优化完善，响应更加迅速高效（</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粮食节约减损健康消费提升行动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粮食节约减损健康消费提升情况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.粮油全链条节约、减损以及健康消费效果大幅提升（</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.有效带动、宣传、营造爱粮节粮以及健康消费良好氛围（</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14931"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得分合计</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bl>
    <w:p>
      <w:pPr>
        <w:pBdr>
          <w:top w:val="none" w:color="auto" w:sz="0" w:space="0"/>
          <w:left w:val="none" w:color="auto" w:sz="0" w:space="0"/>
          <w:bottom w:val="none" w:color="auto" w:sz="0" w:space="0"/>
          <w:right w:val="none" w:color="auto" w:sz="0" w:space="0"/>
          <w:between w:val="none" w:color="auto" w:sz="0" w:space="0"/>
        </w:pBdr>
        <w:overflowPunct w:val="0"/>
        <w:adjustRightInd/>
        <w:spacing w:beforeLines="0" w:after="0" w:afterLines="0" w:line="240" w:lineRule="auto"/>
        <w:ind w:firstLine="0" w:firstLineChars="0"/>
        <w:textAlignment w:val="auto"/>
        <w:rPr>
          <w:rFonts w:hint="eastAsia"/>
          <w:bCs/>
          <w:sz w:val="24"/>
          <w:szCs w:val="24"/>
        </w:rPr>
      </w:pPr>
      <w:r>
        <w:rPr>
          <w:rFonts w:hint="eastAsia"/>
          <w:bCs/>
          <w:sz w:val="24"/>
          <w:szCs w:val="24"/>
        </w:rPr>
        <w:t>备注：一级指标“项目产出”和“项目效果”分值，分别根据项目所属三级指标进行评定打分。</w:t>
      </w:r>
    </w:p>
    <w:p>
      <w:pPr>
        <w:pBdr>
          <w:top w:val="none" w:color="auto" w:sz="0" w:space="0"/>
          <w:left w:val="none" w:color="auto" w:sz="0" w:space="0"/>
          <w:bottom w:val="none" w:color="auto" w:sz="0" w:space="0"/>
          <w:right w:val="none" w:color="auto" w:sz="0" w:space="0"/>
          <w:between w:val="none" w:color="auto" w:sz="0" w:space="0"/>
        </w:pBdr>
        <w:overflowPunct w:val="0"/>
        <w:adjustRightInd/>
        <w:spacing w:beforeLines="0" w:after="0" w:afterLines="0" w:line="240" w:lineRule="auto"/>
        <w:ind w:firstLine="0" w:firstLineChars="0"/>
        <w:textAlignment w:val="auto"/>
        <w:rPr>
          <w:bCs/>
          <w:kern w:val="2"/>
          <w:sz w:val="24"/>
          <w:szCs w:val="24"/>
        </w:rPr>
      </w:pPr>
      <w:r>
        <w:rPr>
          <w:bCs/>
          <w:sz w:val="24"/>
          <w:szCs w:val="24"/>
        </w:rPr>
        <w:t>单位负责人：                  验收组长：                     验收人员：                         年    月   日</w:t>
      </w:r>
    </w:p>
    <w:p>
      <w:pPr>
        <w:overflowPunct w:val="0"/>
        <w:adjustRightInd/>
        <w:spacing w:beforeLines="0" w:after="0" w:afterLines="0" w:line="240" w:lineRule="auto"/>
        <w:textAlignment w:val="auto"/>
        <w:rPr>
          <w:kern w:val="2"/>
        </w:rPr>
      </w:pPr>
    </w:p>
    <w:p>
      <w:pPr>
        <w:adjustRightInd/>
        <w:spacing w:beforeLines="0" w:after="0" w:afterLines="0" w:line="240" w:lineRule="auto"/>
        <w:ind w:right="37" w:rightChars="12"/>
        <w:sectPr>
          <w:footerReference r:id="rId5" w:type="default"/>
          <w:footerReference r:id="rId6" w:type="even"/>
          <w:pgSz w:w="16838" w:h="11906" w:orient="landscape"/>
          <w:pgMar w:top="1531" w:right="2098" w:bottom="1531" w:left="1984" w:header="851" w:footer="1417" w:gutter="0"/>
          <w:pgNumType w:fmt="decimal"/>
          <w:cols w:space="0" w:num="1"/>
          <w:rtlGutter w:val="0"/>
          <w:docGrid w:type="linesAndChars" w:linePitch="579" w:charSpace="-849"/>
        </w:sectPr>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460" w:lineRule="exact"/>
        <w:ind w:right="0" w:rightChars="0"/>
        <w:rPr>
          <w:sz w:val="28"/>
          <w:szCs w:val="28"/>
        </w:rPr>
      </w:pPr>
    </w:p>
    <w:p>
      <w:pPr>
        <w:pBdr>
          <w:top w:val="single" w:color="auto" w:sz="12" w:space="0"/>
          <w:bottom w:val="single" w:color="auto" w:sz="12" w:space="0"/>
        </w:pBdr>
        <w:adjustRightInd/>
        <w:spacing w:beforeLines="0" w:after="0" w:afterLines="0" w:line="240" w:lineRule="auto"/>
        <w:rPr>
          <w:rFonts w:hint="default"/>
          <w:sz w:val="28"/>
          <w:szCs w:val="28"/>
          <w:lang w:val="en-US" w:eastAsia="zh-CN"/>
        </w:rPr>
      </w:pPr>
      <w:r>
        <w:rPr>
          <w:rFonts w:hint="eastAsia"/>
          <w:sz w:val="28"/>
          <w:szCs w:val="28"/>
          <w:lang w:val="en-US" w:eastAsia="zh-CN"/>
        </w:rPr>
        <w:t xml:space="preserve"> </w:t>
      </w:r>
    </w:p>
    <w:sectPr>
      <w:footerReference r:id="rId8" w:type="first"/>
      <w:footerReference r:id="rId7" w:type="default"/>
      <w:pgSz w:w="11906" w:h="16838"/>
      <w:pgMar w:top="2098" w:right="1531" w:bottom="1984" w:left="1531" w:header="851" w:footer="1417" w:gutter="0"/>
      <w:pgNumType w:fmt="decimal"/>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djustRightInd/>
                            <w:snapToGrid/>
                            <w:spacing w:after="0" w:line="240" w:lineRule="auto"/>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adjustRightInd/>
                      <w:snapToGrid/>
                      <w:spacing w:after="0" w:line="240" w:lineRule="auto"/>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pPr>
    <w:r>
      <w:rPr>
        <w:sz w:val="18"/>
      </w:rPr>
      <mc:AlternateContent>
        <mc:Choice Requires="wps">
          <w:drawing>
            <wp:anchor distT="0" distB="0" distL="114300" distR="114300" simplePos="0" relativeHeight="251662336" behindDoc="0" locked="0" layoutInCell="1" allowOverlap="1">
              <wp:simplePos x="0" y="0"/>
              <wp:positionH relativeFrom="margin">
                <wp:posOffset>4987290</wp:posOffset>
              </wp:positionH>
              <wp:positionV relativeFrom="paragraph">
                <wp:posOffset>-6985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djustRightInd/>
                            <w:snapToGrid/>
                            <w:spacing w:after="0" w:line="240" w:lineRule="auto"/>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pt;margin-top:-0.55pt;height:144pt;width:144pt;mso-position-horizontal-relative:margin;mso-wrap-style:none;z-index:251662336;mso-width-relative:page;mso-height-relative:page;" filled="f" stroked="f" coordsize="21600,21600" o:gfxdata="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RSy32QAAAAsBAAAPAAAA&#10;AAAAAAEAIAAAACIAAABkcnMvZG93bnJldi54bWxQSwECFAAUAAAACACHTuJAXtCZFRQCAAATBAAA&#10;DgAAAAAAAAABACAAAAAoAQAAZHJzL2Uyb0RvYy54bWxQSwUGAAAAAAYABgBZAQAArgUAAAAA&#10;">
              <v:fill on="f" focussize="0,0"/>
              <v:stroke on="f" weight="0.5pt"/>
              <v:imagedata o:title=""/>
              <o:lock v:ext="edit" aspectratio="f"/>
              <v:textbox inset="0mm,0mm,0mm,0mm" style="mso-fit-shape-to-text:t;">
                <w:txbxContent>
                  <w:p>
                    <w:pPr>
                      <w:pStyle w:val="5"/>
                      <w:adjustRightInd/>
                      <w:snapToGrid/>
                      <w:spacing w:after="0" w:line="240" w:lineRule="auto"/>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ticObwAEAAHIDAAAOAAAAAAAAAAEAIAAAAB4BAABkcnMvZTJvRG9jLnhtbFBLBQYA&#10;AAAABgAGAFkBAABQ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djustRightInd/>
                            <w:snapToGrid/>
                            <w:spacing w:after="0" w:line="240" w:lineRule="auto"/>
                            <w:jc w:val="right"/>
                            <w:rPr>
                              <w:rFonts w:hint="default"/>
                              <w:sz w:val="28"/>
                              <w:szCs w:val="28"/>
                            </w:rPr>
                          </w:pPr>
                          <w:r>
                            <w:rPr>
                              <w:rFonts w:hint="default"/>
                              <w:sz w:val="28"/>
                              <w:szCs w:val="28"/>
                              <w:lang w:eastAsia="zh-CN"/>
                            </w:rPr>
                            <w:t>—</w:t>
                          </w:r>
                          <w:r>
                            <w:rPr>
                              <w:rFonts w:hint="default"/>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default"/>
                              <w:sz w:val="28"/>
                              <w:szCs w:val="28"/>
                              <w:lang w:val="en-US" w:eastAsia="zh-CN"/>
                            </w:rPr>
                            <w:t xml:space="preserve"> </w:t>
                          </w:r>
                          <w:r>
                            <w:rPr>
                              <w:rFonts w:hint="default"/>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adjustRightInd/>
                      <w:snapToGrid/>
                      <w:spacing w:after="0" w:line="240" w:lineRule="auto"/>
                      <w:jc w:val="right"/>
                      <w:rPr>
                        <w:rFonts w:hint="default"/>
                        <w:sz w:val="28"/>
                        <w:szCs w:val="28"/>
                      </w:rPr>
                    </w:pPr>
                    <w:r>
                      <w:rPr>
                        <w:rFonts w:hint="default"/>
                        <w:sz w:val="28"/>
                        <w:szCs w:val="28"/>
                        <w:lang w:eastAsia="zh-CN"/>
                      </w:rPr>
                      <w:t>—</w:t>
                    </w:r>
                    <w:r>
                      <w:rPr>
                        <w:rFonts w:hint="default"/>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default"/>
                        <w:sz w:val="28"/>
                        <w:szCs w:val="28"/>
                        <w:lang w:val="en-US" w:eastAsia="zh-CN"/>
                      </w:rPr>
                      <w:t xml:space="preserve"> </w:t>
                    </w:r>
                    <w:r>
                      <w:rPr>
                        <w:rFonts w:hint="default"/>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P5DOlwAEAAHIDAAAOAAAAAAAAAAEAIAAAAB4BAABkcnMvZTJvRG9jLnhtbFBLBQYA&#10;AAAABgAGAFkBAABQBQAAAAA=&#10;">
              <v:fill on="f" focussize="0,0"/>
              <v:stroke on="f"/>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424E8"/>
    <w:multiLevelType w:val="singleLevel"/>
    <w:tmpl w:val="DC6424E8"/>
    <w:lvl w:ilvl="0" w:tentative="0">
      <w:start w:val="1"/>
      <w:numFmt w:val="chineseCounting"/>
      <w:suff w:val="space"/>
      <w:lvlText w:val="第%1章"/>
      <w:lvlJc w:val="left"/>
      <w:pPr>
        <w:tabs>
          <w:tab w:val="left" w:pos="0"/>
        </w:tabs>
      </w:pPr>
      <w:rPr>
        <w:rFonts w:hint="eastAsia"/>
      </w:rPr>
    </w:lvl>
  </w:abstractNum>
  <w:abstractNum w:abstractNumId="1">
    <w:nsid w:val="64A588E2"/>
    <w:multiLevelType w:val="singleLevel"/>
    <w:tmpl w:val="64A588E2"/>
    <w:lvl w:ilvl="0" w:tentative="0">
      <w:start w:val="1"/>
      <w:numFmt w:val="chineseCounting"/>
      <w:suff w:val="space"/>
      <w:lvlText w:val="第%1条"/>
      <w:lvlJc w:val="left"/>
      <w:pPr>
        <w:tabs>
          <w:tab w:val="left" w:pos="0"/>
        </w:tabs>
        <w:ind w:firstLine="40"/>
      </w:pPr>
      <w:rPr>
        <w:rFonts w:hint="eastAsia" w:ascii="方正黑体_GBK" w:hAnsi="方正黑体_GBK" w:eastAsia="方正黑体_GBK" w:cs="宋体"/>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44F2ECD"/>
    <w:rsid w:val="07DE0AAA"/>
    <w:rsid w:val="091B47BB"/>
    <w:rsid w:val="0C6A01C2"/>
    <w:rsid w:val="0CF02DEE"/>
    <w:rsid w:val="11EE6D97"/>
    <w:rsid w:val="12080E07"/>
    <w:rsid w:val="12C81AA5"/>
    <w:rsid w:val="1578613D"/>
    <w:rsid w:val="17623E38"/>
    <w:rsid w:val="193D01E0"/>
    <w:rsid w:val="1D2027D0"/>
    <w:rsid w:val="1D4E12BA"/>
    <w:rsid w:val="1EFF0029"/>
    <w:rsid w:val="1F4C00ED"/>
    <w:rsid w:val="2037231E"/>
    <w:rsid w:val="226117B6"/>
    <w:rsid w:val="23445D57"/>
    <w:rsid w:val="23570372"/>
    <w:rsid w:val="24062658"/>
    <w:rsid w:val="256B156C"/>
    <w:rsid w:val="25B27047"/>
    <w:rsid w:val="26D83835"/>
    <w:rsid w:val="27F5397D"/>
    <w:rsid w:val="28DB14A2"/>
    <w:rsid w:val="2AFF29AF"/>
    <w:rsid w:val="2B6540BB"/>
    <w:rsid w:val="2B6F62D5"/>
    <w:rsid w:val="2B8704A8"/>
    <w:rsid w:val="3034553E"/>
    <w:rsid w:val="30C82935"/>
    <w:rsid w:val="323B6534"/>
    <w:rsid w:val="359D56FF"/>
    <w:rsid w:val="35EF5E14"/>
    <w:rsid w:val="37083883"/>
    <w:rsid w:val="38146403"/>
    <w:rsid w:val="38B97D28"/>
    <w:rsid w:val="3A1F5203"/>
    <w:rsid w:val="3D584BA2"/>
    <w:rsid w:val="402E288B"/>
    <w:rsid w:val="40F605FA"/>
    <w:rsid w:val="417E794A"/>
    <w:rsid w:val="45E47B16"/>
    <w:rsid w:val="47651902"/>
    <w:rsid w:val="477B47A9"/>
    <w:rsid w:val="4A30398A"/>
    <w:rsid w:val="4A9F4CF0"/>
    <w:rsid w:val="4AC07792"/>
    <w:rsid w:val="4CE7092E"/>
    <w:rsid w:val="4E252DB9"/>
    <w:rsid w:val="5073301F"/>
    <w:rsid w:val="545424E6"/>
    <w:rsid w:val="54E47F11"/>
    <w:rsid w:val="55835057"/>
    <w:rsid w:val="55BC7CB9"/>
    <w:rsid w:val="57DB6B64"/>
    <w:rsid w:val="57DC7443"/>
    <w:rsid w:val="5BC50A62"/>
    <w:rsid w:val="60050F24"/>
    <w:rsid w:val="61561366"/>
    <w:rsid w:val="6383212C"/>
    <w:rsid w:val="65675252"/>
    <w:rsid w:val="65E0558A"/>
    <w:rsid w:val="68E8683A"/>
    <w:rsid w:val="694D661D"/>
    <w:rsid w:val="696E3491"/>
    <w:rsid w:val="6AFF5937"/>
    <w:rsid w:val="6C3D2854"/>
    <w:rsid w:val="6DDC392A"/>
    <w:rsid w:val="6E163EDE"/>
    <w:rsid w:val="6F561EEA"/>
    <w:rsid w:val="726C3FD1"/>
    <w:rsid w:val="72E0541B"/>
    <w:rsid w:val="73815F40"/>
    <w:rsid w:val="743875A3"/>
    <w:rsid w:val="76B77724"/>
    <w:rsid w:val="7A7973A8"/>
    <w:rsid w:val="7A8C5776"/>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adjustRightInd/>
      <w:spacing w:line="259" w:lineRule="auto"/>
      <w:textAlignment w:val="auto"/>
    </w:pPr>
    <w:rPr>
      <w:rFonts w:eastAsia="仿宋_GB2312"/>
      <w:kern w:val="2"/>
      <w:szCs w:val="20"/>
    </w:rPr>
  </w:style>
  <w:style w:type="paragraph" w:styleId="3">
    <w:name w:val="index 7"/>
    <w:basedOn w:val="1"/>
    <w:next w:val="1"/>
    <w:unhideWhenUsed/>
    <w:qFormat/>
    <w:uiPriority w:val="99"/>
    <w:pPr>
      <w:adjustRightInd/>
      <w:spacing w:line="259" w:lineRule="auto"/>
      <w:ind w:left="1200" w:leftChars="1200"/>
      <w:textAlignment w:val="auto"/>
    </w:pPr>
    <w:rPr>
      <w:kern w:val="2"/>
    </w:r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qFormat/>
    <w:uiPriority w:val="0"/>
  </w:style>
  <w:style w:type="character" w:customStyle="1" w:styleId="10">
    <w:name w:val="页脚 Char"/>
    <w:link w:val="5"/>
    <w:qFormat/>
    <w:uiPriority w:val="99"/>
    <w:rPr>
      <w:rFonts w:eastAsia="方正仿宋_GBK"/>
      <w:sz w:val="18"/>
      <w:szCs w:val="18"/>
    </w:rPr>
  </w:style>
  <w:style w:type="character" w:customStyle="1" w:styleId="11">
    <w:name w:val="页眉 Char"/>
    <w:link w:val="6"/>
    <w:qFormat/>
    <w:uiPriority w:val="0"/>
    <w:rPr>
      <w:rFonts w:eastAsia="方正仿宋_GBK"/>
      <w:sz w:val="18"/>
      <w:szCs w:val="18"/>
    </w:rPr>
  </w:style>
  <w:style w:type="paragraph" w:styleId="12">
    <w:name w:val="List Paragraph"/>
    <w:basedOn w:val="1"/>
    <w:qFormat/>
    <w:uiPriority w:val="34"/>
    <w:pPr>
      <w:adjustRightInd/>
      <w:spacing w:line="259" w:lineRule="auto"/>
      <w:ind w:firstLine="420" w:firstLineChars="200"/>
      <w:textAlignment w:val="auto"/>
    </w:pPr>
    <w:rPr>
      <w:kern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0</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2022-11-25T06:18:00Z</cp:lastPrinted>
  <dcterms:modified xsi:type="dcterms:W3CDTF">2022-12-06T03:40:34Z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5782DA91F03A43FEBA124F8E386FEAA9</vt:lpwstr>
  </property>
  <property fmtid="{D5CDD505-2E9C-101B-9397-08002B2CF9AE}" pid="3" name="KSOProductBuildVer">
    <vt:lpwstr>2052-11.8.2.9022</vt:lpwstr>
  </property>
</Properties>
</file>